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FBDD1">
      <w:pPr>
        <w:jc w:val="center"/>
        <w:rPr>
          <w:b/>
          <w:bCs/>
          <w:sz w:val="52"/>
        </w:rPr>
      </w:pPr>
      <w:r>
        <w:rPr>
          <w:sz w:val="20"/>
        </w:rPr>
        <w:drawing>
          <wp:anchor distT="0" distB="0" distL="114300" distR="114300" simplePos="0" relativeHeight="251659264" behindDoc="0" locked="0" layoutInCell="1" allowOverlap="1">
            <wp:simplePos x="0" y="0"/>
            <wp:positionH relativeFrom="column">
              <wp:posOffset>3543300</wp:posOffset>
            </wp:positionH>
            <wp:positionV relativeFrom="paragraph">
              <wp:posOffset>-297180</wp:posOffset>
            </wp:positionV>
            <wp:extent cx="1725295" cy="803275"/>
            <wp:effectExtent l="0" t="0" r="8255" b="0"/>
            <wp:wrapSquare wrapText="bothSides"/>
            <wp:docPr id="300" name="图片 300"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图片 300" descr="JJ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25295" cy="803275"/>
                    </a:xfrm>
                    <a:prstGeom prst="rect">
                      <a:avLst/>
                    </a:prstGeom>
                    <a:noFill/>
                    <a:ln>
                      <a:noFill/>
                    </a:ln>
                  </pic:spPr>
                </pic:pic>
              </a:graphicData>
            </a:graphic>
          </wp:anchor>
        </w:drawing>
      </w:r>
    </w:p>
    <w:p w14:paraId="5DC1DF54">
      <w:pPr>
        <w:pStyle w:val="23"/>
        <w:jc w:val="left"/>
        <w:rPr>
          <w:rFonts w:ascii="黑体" w:hAnsi="黑体" w:eastAsia="黑体"/>
          <w:b/>
          <w:sz w:val="44"/>
          <w:szCs w:val="44"/>
        </w:rPr>
      </w:pPr>
    </w:p>
    <w:p w14:paraId="71A182A3">
      <w:pPr>
        <w:jc w:val="center"/>
        <w:rPr>
          <w:rFonts w:eastAsia="黑体"/>
          <w:b/>
          <w:bCs/>
          <w:sz w:val="52"/>
        </w:rPr>
      </w:pPr>
      <w:r>
        <w:rPr>
          <w:rFonts w:eastAsia="黑体"/>
          <w:b/>
          <w:bCs/>
          <w:sz w:val="52"/>
        </w:rPr>
        <w:t>贵州省地方计量技术规范规范</w:t>
      </w:r>
    </w:p>
    <w:p w14:paraId="5C1DA159">
      <w:pPr>
        <w:ind w:firstLine="5903" w:firstLineChars="2100"/>
        <w:rPr>
          <w:rFonts w:hint="eastAsia" w:ascii="黑体" w:hAnsi="宋体" w:eastAsia="黑体"/>
          <w:b/>
          <w:bCs/>
          <w:sz w:val="28"/>
          <w:szCs w:val="28"/>
        </w:rPr>
      </w:pPr>
      <w:r>
        <w:rPr>
          <w:rFonts w:ascii="黑体" w:hAnsi="宋体" w:eastAsia="黑体"/>
          <w:b/>
          <w:bCs/>
          <w:sz w:val="28"/>
          <w:szCs w:val="28"/>
        </w:rPr>
        <w:t>JJF</w:t>
      </w:r>
      <w:r>
        <w:rPr>
          <w:rFonts w:hint="eastAsia" w:ascii="黑体" w:hAnsi="宋体" w:eastAsia="黑体"/>
          <w:b/>
          <w:bCs/>
          <w:sz w:val="28"/>
          <w:szCs w:val="28"/>
        </w:rPr>
        <w:t>（黔）XXX</w:t>
      </w:r>
      <w:r>
        <w:rPr>
          <w:rFonts w:ascii="黑体" w:hAnsi="宋体" w:eastAsia="黑体"/>
          <w:b/>
          <w:bCs/>
          <w:sz w:val="28"/>
          <w:szCs w:val="28"/>
        </w:rPr>
        <w:t>-20</w:t>
      </w:r>
      <w:r>
        <w:rPr>
          <w:rFonts w:hint="eastAsia" w:ascii="黑体" w:hAnsi="宋体" w:eastAsia="黑体"/>
          <w:b/>
          <w:bCs/>
          <w:sz w:val="28"/>
          <w:szCs w:val="28"/>
        </w:rPr>
        <w:t>XX</w:t>
      </w:r>
    </w:p>
    <w:p w14:paraId="77C3B02A">
      <w:pPr>
        <w:jc w:val="center"/>
        <w:rPr>
          <w:rFonts w:eastAsia="黑体"/>
          <w:b/>
          <w:sz w:val="52"/>
        </w:rPr>
      </w:pPr>
      <w:r>
        <w:rPr>
          <w:rFonts w:eastAsia="黑体"/>
          <w:sz w:val="28"/>
          <w:szCs w:val="20"/>
        </w:rPr>
        <w:pict>
          <v:line id="Line 33" o:spid="_x0000_s2050" o:spt="20" style="position:absolute;left:0pt;margin-left:0pt;margin-top:7.8pt;height:0pt;width:414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tzmEg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">
            <v:path arrowok="t"/>
            <v:fill focussize="0,0"/>
            <v:stroke/>
            <v:imagedata o:title=""/>
            <o:lock v:ext="edit"/>
          </v:line>
        </w:pict>
      </w:r>
    </w:p>
    <w:p w14:paraId="294A3D7C">
      <w:pPr>
        <w:jc w:val="center"/>
        <w:rPr>
          <w:rFonts w:eastAsia="黑体"/>
          <w:b/>
          <w:sz w:val="52"/>
        </w:rPr>
      </w:pPr>
    </w:p>
    <w:p w14:paraId="20258C33">
      <w:pPr>
        <w:jc w:val="center"/>
        <w:rPr>
          <w:rFonts w:eastAsia="黑体"/>
          <w:sz w:val="52"/>
        </w:rPr>
      </w:pPr>
      <w:r>
        <w:rPr>
          <w:rFonts w:eastAsia="黑体"/>
          <w:sz w:val="52"/>
        </w:rPr>
        <w:t>炉温跟踪仪校准规范</w:t>
      </w:r>
    </w:p>
    <w:p w14:paraId="20F95480">
      <w:pPr>
        <w:jc w:val="center"/>
        <w:rPr>
          <w:sz w:val="28"/>
          <w:szCs w:val="28"/>
        </w:rPr>
      </w:pPr>
      <w:r>
        <w:rPr>
          <w:sz w:val="28"/>
          <w:szCs w:val="28"/>
        </w:rPr>
        <w:t xml:space="preserve">Calibration Specification for the Furnace Temperature </w:t>
      </w:r>
      <w:r>
        <w:rPr>
          <w:rFonts w:hint="eastAsia"/>
          <w:sz w:val="28"/>
          <w:szCs w:val="28"/>
        </w:rPr>
        <w:t>T</w:t>
      </w:r>
      <w:r>
        <w:rPr>
          <w:sz w:val="28"/>
          <w:szCs w:val="28"/>
        </w:rPr>
        <w:t>rack</w:t>
      </w:r>
      <w:r>
        <w:rPr>
          <w:rFonts w:hint="eastAsia"/>
          <w:sz w:val="28"/>
          <w:szCs w:val="28"/>
        </w:rPr>
        <w:t xml:space="preserve"> L</w:t>
      </w:r>
      <w:r>
        <w:rPr>
          <w:sz w:val="28"/>
          <w:szCs w:val="28"/>
        </w:rPr>
        <w:t>ogger</w:t>
      </w:r>
    </w:p>
    <w:p w14:paraId="5B80454F">
      <w:pPr>
        <w:jc w:val="center"/>
        <w:rPr>
          <w:rFonts w:hint="eastAsia" w:eastAsia="宋体"/>
          <w:sz w:val="28"/>
          <w:szCs w:val="28"/>
          <w:lang w:eastAsia="zh-CN"/>
        </w:rPr>
      </w:pPr>
      <w:r>
        <w:rPr>
          <w:rFonts w:hint="eastAsia"/>
          <w:sz w:val="28"/>
          <w:szCs w:val="28"/>
          <w:lang w:eastAsia="zh-CN"/>
        </w:rPr>
        <w:t>（</w:t>
      </w:r>
      <w:r>
        <w:rPr>
          <w:rFonts w:hint="eastAsia"/>
          <w:sz w:val="28"/>
          <w:szCs w:val="28"/>
          <w:lang w:val="en-US" w:eastAsia="zh-CN"/>
        </w:rPr>
        <w:t>征求意见稿</w:t>
      </w:r>
      <w:bookmarkStart w:id="31" w:name="_GoBack"/>
      <w:bookmarkEnd w:id="31"/>
      <w:r>
        <w:rPr>
          <w:rFonts w:hint="eastAsia"/>
          <w:sz w:val="28"/>
          <w:szCs w:val="28"/>
          <w:lang w:eastAsia="zh-CN"/>
        </w:rPr>
        <w:t>）</w:t>
      </w:r>
    </w:p>
    <w:p w14:paraId="272AAB67">
      <w:pPr>
        <w:jc w:val="center"/>
        <w:rPr>
          <w:sz w:val="28"/>
          <w:szCs w:val="28"/>
        </w:rPr>
      </w:pPr>
    </w:p>
    <w:p w14:paraId="2AFE6676">
      <w:pPr>
        <w:jc w:val="center"/>
        <w:rPr>
          <w:sz w:val="32"/>
          <w:szCs w:val="32"/>
        </w:rPr>
      </w:pPr>
    </w:p>
    <w:p w14:paraId="7CAD80C0">
      <w:pPr>
        <w:jc w:val="center"/>
        <w:rPr>
          <w:sz w:val="28"/>
          <w:szCs w:val="28"/>
        </w:rPr>
      </w:pPr>
    </w:p>
    <w:p w14:paraId="27313552">
      <w:pPr>
        <w:rPr>
          <w:szCs w:val="20"/>
        </w:rPr>
      </w:pPr>
    </w:p>
    <w:p w14:paraId="25D7501A">
      <w:pPr>
        <w:jc w:val="center"/>
        <w:rPr>
          <w:sz w:val="44"/>
          <w:szCs w:val="44"/>
        </w:rPr>
      </w:pPr>
    </w:p>
    <w:p w14:paraId="5028A998">
      <w:pPr>
        <w:rPr>
          <w:szCs w:val="20"/>
        </w:rPr>
      </w:pPr>
    </w:p>
    <w:p w14:paraId="42FF163E">
      <w:pPr>
        <w:spacing w:line="360" w:lineRule="auto"/>
        <w:rPr>
          <w:szCs w:val="20"/>
        </w:rPr>
      </w:pPr>
    </w:p>
    <w:p w14:paraId="4F052330">
      <w:pPr>
        <w:rPr>
          <w:szCs w:val="20"/>
        </w:rPr>
      </w:pPr>
    </w:p>
    <w:p w14:paraId="1323BA0A">
      <w:pPr>
        <w:rPr>
          <w:rFonts w:eastAsia="黑体"/>
          <w:sz w:val="28"/>
          <w:szCs w:val="20"/>
        </w:rPr>
      </w:pPr>
    </w:p>
    <w:p w14:paraId="5CA4BDB0">
      <w:pPr>
        <w:rPr>
          <w:rFonts w:eastAsia="黑体"/>
          <w:sz w:val="28"/>
        </w:rPr>
      </w:pPr>
    </w:p>
    <w:p w14:paraId="370E01A6">
      <w:pPr>
        <w:rPr>
          <w:rFonts w:eastAsia="黑体"/>
          <w:sz w:val="28"/>
        </w:rPr>
      </w:pPr>
    </w:p>
    <w:p w14:paraId="2F6208AF">
      <w:pPr>
        <w:rPr>
          <w:rFonts w:eastAsia="黑体"/>
          <w:szCs w:val="28"/>
          <w:u w:val="single"/>
        </w:rPr>
      </w:pPr>
      <w:r>
        <w:rPr>
          <w:rFonts w:eastAsia="黑体"/>
          <w:sz w:val="28"/>
          <w:szCs w:val="28"/>
        </w:rPr>
        <w:t>20XX-XX-XX</w:t>
      </w:r>
      <w:r>
        <w:rPr>
          <w:rFonts w:eastAsia="黑体"/>
          <w:b/>
          <w:bCs/>
          <w:sz w:val="28"/>
          <w:szCs w:val="28"/>
        </w:rPr>
        <w:t>发布</w:t>
      </w:r>
      <w:r>
        <w:rPr>
          <w:rFonts w:hint="eastAsia" w:eastAsia="黑体"/>
          <w:b/>
          <w:bCs/>
          <w:sz w:val="28"/>
          <w:szCs w:val="28"/>
        </w:rPr>
        <w:t xml:space="preserve">                         </w:t>
      </w:r>
      <w:r>
        <w:rPr>
          <w:rFonts w:eastAsia="黑体"/>
          <w:sz w:val="28"/>
          <w:szCs w:val="28"/>
        </w:rPr>
        <w:t>20XX-XX-XX</w:t>
      </w:r>
      <w:r>
        <w:rPr>
          <w:rFonts w:eastAsia="黑体"/>
          <w:b/>
          <w:bCs/>
          <w:sz w:val="28"/>
          <w:szCs w:val="28"/>
        </w:rPr>
        <w:t>实施</w:t>
      </w:r>
    </w:p>
    <w:p w14:paraId="5EF3F112">
      <w:pPr>
        <w:jc w:val="center"/>
        <w:rPr>
          <w:rFonts w:eastAsia="方正小标宋_GBK"/>
          <w:bCs/>
          <w:kern w:val="0"/>
          <w:sz w:val="32"/>
          <w:szCs w:val="36"/>
        </w:rPr>
      </w:pPr>
      <w:r>
        <w:rPr>
          <w:rFonts w:eastAsia="方正小标宋_GBK"/>
          <w:bCs/>
          <w:kern w:val="0"/>
          <w:sz w:val="44"/>
          <w:szCs w:val="44"/>
        </w:rPr>
        <w:pict>
          <v:line id="Line 34" o:spid="_x0000_s2095" o:spt="20" style="position:absolute;left:0pt;margin-left:9pt;margin-top:0pt;height:0pt;width:4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MSk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">
            <v:path arrowok="t"/>
            <v:fill focussize="0,0"/>
            <v:stroke/>
            <v:imagedata o:title=""/>
            <o:lock v:ext="edit"/>
          </v:line>
        </w:pict>
      </w:r>
      <w:r>
        <w:rPr>
          <w:rFonts w:hint="eastAsia" w:ascii="微软雅黑" w:hAnsi="微软雅黑" w:eastAsia="微软雅黑" w:cs="微软雅黑"/>
          <w:bCs/>
          <w:kern w:val="0"/>
          <w:sz w:val="44"/>
          <w:szCs w:val="44"/>
        </w:rPr>
        <w:t>贵州省市场监督管理局</w:t>
      </w:r>
      <w:r>
        <w:rPr>
          <w:rFonts w:hint="eastAsia" w:ascii="微软雅黑" w:hAnsi="微软雅黑" w:eastAsia="微软雅黑" w:cs="微软雅黑"/>
          <w:bCs/>
          <w:kern w:val="0"/>
          <w:sz w:val="32"/>
          <w:szCs w:val="36"/>
        </w:rPr>
        <w:t>发布</w:t>
      </w:r>
    </w:p>
    <w:p w14:paraId="4F743507">
      <w:pPr>
        <w:jc w:val="center"/>
        <w:rPr>
          <w:rFonts w:eastAsia="方正小标宋_GBK"/>
          <w:sz w:val="20"/>
        </w:rPr>
      </w:pPr>
    </w:p>
    <w:p w14:paraId="38232031">
      <w:pPr>
        <w:jc w:val="left"/>
        <w:rPr>
          <w:rFonts w:eastAsia="黑体"/>
          <w:b/>
          <w:sz w:val="44"/>
          <w:szCs w:val="44"/>
        </w:rPr>
      </w:pPr>
      <w:r>
        <w:rPr>
          <w:sz w:val="44"/>
          <w:szCs w:val="44"/>
        </w:rPr>
        <w:pict>
          <v:rect id="_x0000_s2141" o:spid="_x0000_s2141" o:spt="1" style="position:absolute;left:0pt;margin-left:300.9pt;margin-top:30.3pt;height:41.7pt;width:153pt;z-index:251663360;mso-width-relative:page;mso-height-relative:page;" coordsize="21600,21600">
            <v:path/>
            <v:fill focussize="0,0"/>
            <v:stroke weight="1.5pt" dashstyle="1 1"/>
            <v:imagedata o:title=""/>
            <o:lock v:ext="edit"/>
            <v:textbox>
              <w:txbxContent>
                <w:p w14:paraId="4ACCEC2F">
                  <w:pPr>
                    <w:adjustRightInd w:val="0"/>
                    <w:spacing w:line="240" w:lineRule="atLeast"/>
                    <w:jc w:val="center"/>
                    <w:rPr>
                      <w:rFonts w:ascii="黑体" w:eastAsia="黑体"/>
                      <w:b/>
                      <w:sz w:val="28"/>
                    </w:rPr>
                  </w:pPr>
                  <w:r>
                    <w:rPr>
                      <w:rFonts w:hint="eastAsia" w:ascii="黑体" w:eastAsia="黑体"/>
                      <w:b/>
                      <w:sz w:val="28"/>
                    </w:rPr>
                    <w:t>JJF（黔）XXXX- 20XX</w:t>
                  </w:r>
                </w:p>
              </w:txbxContent>
            </v:textbox>
          </v:rect>
        </w:pict>
      </w:r>
      <w:r>
        <w:rPr>
          <w:rFonts w:eastAsia="黑体"/>
          <w:b/>
          <w:sz w:val="44"/>
          <w:szCs w:val="44"/>
        </w:rPr>
        <w:t>炉温跟踪仪校准规范</w:t>
      </w:r>
    </w:p>
    <w:p w14:paraId="3696B8B1">
      <w:pPr>
        <w:spacing w:before="156" w:beforeLines="50"/>
        <w:rPr>
          <w:sz w:val="28"/>
          <w:szCs w:val="28"/>
        </w:rPr>
      </w:pPr>
      <w:r>
        <w:rPr>
          <w:sz w:val="28"/>
          <w:szCs w:val="28"/>
        </w:rPr>
        <w:t xml:space="preserve">Calibration Specification for the </w:t>
      </w:r>
    </w:p>
    <w:p w14:paraId="4F381D51">
      <w:pPr>
        <w:spacing w:before="156" w:beforeLines="50"/>
        <w:rPr>
          <w:sz w:val="28"/>
          <w:szCs w:val="28"/>
        </w:rPr>
      </w:pPr>
      <w:r>
        <w:rPr>
          <w:sz w:val="28"/>
          <w:szCs w:val="28"/>
        </w:rPr>
        <w:t xml:space="preserve">Furnace Temperature </w:t>
      </w:r>
      <w:r>
        <w:rPr>
          <w:rFonts w:hint="eastAsia"/>
          <w:sz w:val="28"/>
          <w:szCs w:val="28"/>
        </w:rPr>
        <w:t>T</w:t>
      </w:r>
      <w:r>
        <w:rPr>
          <w:sz w:val="28"/>
          <w:szCs w:val="28"/>
        </w:rPr>
        <w:t>rack</w:t>
      </w:r>
      <w:r>
        <w:rPr>
          <w:rFonts w:hint="eastAsia"/>
          <w:sz w:val="28"/>
          <w:szCs w:val="28"/>
        </w:rPr>
        <w:t xml:space="preserve"> L</w:t>
      </w:r>
      <w:r>
        <w:rPr>
          <w:sz w:val="28"/>
          <w:szCs w:val="28"/>
        </w:rPr>
        <w:t>ogger</w:t>
      </w:r>
      <w:r>
        <w:rPr>
          <w:rFonts w:hint="eastAsia"/>
          <w:sz w:val="28"/>
          <w:szCs w:val="28"/>
        </w:rPr>
        <w:t xml:space="preserve"> </w:t>
      </w:r>
    </w:p>
    <w:p w14:paraId="36C97D0D">
      <w:r>
        <w:pict>
          <v:line id="Line 3" o:spid="_x0000_s2093" o:spt="20" style="position:absolute;left:0pt;flip:y;margin-left:0pt;margin-top:10pt;height:0pt;width:432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">
            <v:path arrowok="t"/>
            <v:fill focussize="0,0"/>
            <v:stroke/>
            <v:imagedata o:title=""/>
            <o:lock v:ext="edit"/>
          </v:line>
        </w:pict>
      </w:r>
    </w:p>
    <w:p w14:paraId="6ACF2048"/>
    <w:p w14:paraId="27164BB7">
      <w:pPr>
        <w:pStyle w:val="23"/>
        <w:rPr>
          <w:rFonts w:hint="default" w:ascii="Times New Roman" w:hAnsi="Times New Roman" w:eastAsia="仿宋_GB2312"/>
          <w:sz w:val="24"/>
          <w:szCs w:val="28"/>
        </w:rPr>
      </w:pPr>
    </w:p>
    <w:p w14:paraId="1D637224">
      <w:pPr>
        <w:pStyle w:val="23"/>
        <w:rPr>
          <w:rFonts w:hint="default" w:ascii="Times New Roman" w:hAnsi="Times New Roman" w:eastAsia="仿宋_GB2312"/>
          <w:sz w:val="24"/>
          <w:szCs w:val="28"/>
        </w:rPr>
      </w:pPr>
    </w:p>
    <w:p w14:paraId="0B1E8D92">
      <w:pPr>
        <w:pStyle w:val="23"/>
        <w:rPr>
          <w:rFonts w:hint="default" w:ascii="Times New Roman" w:hAnsi="Times New Roman" w:eastAsia="仿宋_GB2312"/>
          <w:sz w:val="24"/>
          <w:szCs w:val="28"/>
        </w:rPr>
      </w:pPr>
    </w:p>
    <w:p w14:paraId="2E29E040">
      <w:pPr>
        <w:pStyle w:val="23"/>
        <w:rPr>
          <w:rFonts w:hint="default" w:ascii="Times New Roman" w:hAnsi="Times New Roman"/>
          <w:sz w:val="24"/>
        </w:rPr>
      </w:pPr>
    </w:p>
    <w:p w14:paraId="178CB24C">
      <w:pPr>
        <w:pStyle w:val="23"/>
        <w:rPr>
          <w:rFonts w:hint="default" w:ascii="Times New Roman" w:hAnsi="Times New Roman"/>
          <w:sz w:val="24"/>
        </w:rPr>
      </w:pPr>
    </w:p>
    <w:p w14:paraId="0BA0C62F">
      <w:pPr>
        <w:pStyle w:val="23"/>
        <w:rPr>
          <w:rFonts w:hint="default" w:ascii="Times New Roman" w:hAnsi="Times New Roman"/>
          <w:sz w:val="24"/>
        </w:rPr>
      </w:pPr>
    </w:p>
    <w:p w14:paraId="31DFB1DF">
      <w:pPr>
        <w:pStyle w:val="23"/>
        <w:rPr>
          <w:rFonts w:hint="default" w:ascii="Times New Roman" w:hAnsi="Times New Roman"/>
          <w:sz w:val="24"/>
        </w:rPr>
      </w:pPr>
    </w:p>
    <w:p w14:paraId="6DB785B6">
      <w:pPr>
        <w:pStyle w:val="23"/>
        <w:rPr>
          <w:rFonts w:hint="default" w:ascii="Times New Roman" w:hAnsi="Times New Roman"/>
          <w:sz w:val="24"/>
        </w:rPr>
      </w:pPr>
    </w:p>
    <w:p w14:paraId="34917ED2">
      <w:pPr>
        <w:pStyle w:val="23"/>
        <w:rPr>
          <w:rFonts w:hint="default" w:ascii="Times New Roman" w:hAnsi="Times New Roman"/>
          <w:sz w:val="24"/>
        </w:rPr>
      </w:pPr>
    </w:p>
    <w:p w14:paraId="4CBB00C0">
      <w:pPr>
        <w:pStyle w:val="23"/>
        <w:rPr>
          <w:rFonts w:hint="default" w:ascii="Times New Roman" w:hAnsi="Times New Roman"/>
          <w:sz w:val="24"/>
        </w:rPr>
      </w:pPr>
    </w:p>
    <w:p w14:paraId="3D18A403">
      <w:pPr>
        <w:pStyle w:val="23"/>
        <w:rPr>
          <w:rFonts w:hint="default" w:ascii="Times New Roman" w:hAnsi="Times New Roman"/>
          <w:sz w:val="24"/>
        </w:rPr>
      </w:pPr>
    </w:p>
    <w:p w14:paraId="7558CDE5">
      <w:pPr>
        <w:pStyle w:val="23"/>
        <w:ind w:firstLine="560" w:firstLineChars="200"/>
        <w:jc w:val="left"/>
        <w:rPr>
          <w:rFonts w:hint="default" w:ascii="Times New Roman" w:hAnsi="Times New Roman"/>
          <w:sz w:val="28"/>
          <w:szCs w:val="24"/>
        </w:rPr>
      </w:pPr>
      <w:r>
        <w:rPr>
          <w:rFonts w:hint="default" w:ascii="Times New Roman" w:hAnsi="Times New Roman" w:eastAsia="黑体"/>
          <w:sz w:val="28"/>
        </w:rPr>
        <w:t>归口单位：</w:t>
      </w:r>
      <w:r>
        <w:rPr>
          <w:rFonts w:ascii="Times New Roman" w:hAnsi="Times New Roman"/>
          <w:sz w:val="28"/>
          <w:szCs w:val="24"/>
        </w:rPr>
        <w:t>贵州省市场监督管理局</w:t>
      </w:r>
    </w:p>
    <w:p w14:paraId="6ADFBCFB">
      <w:pPr>
        <w:pStyle w:val="23"/>
        <w:ind w:firstLine="537" w:firstLineChars="192"/>
        <w:jc w:val="left"/>
        <w:rPr>
          <w:rFonts w:hint="default" w:ascii="Times New Roman" w:hAnsi="Times New Roman"/>
          <w:sz w:val="28"/>
          <w:szCs w:val="24"/>
        </w:rPr>
      </w:pPr>
      <w:r>
        <w:rPr>
          <w:rFonts w:hint="default" w:ascii="Times New Roman" w:hAnsi="Times New Roman" w:eastAsia="黑体"/>
          <w:sz w:val="28"/>
        </w:rPr>
        <w:t>主要起草单位：</w:t>
      </w:r>
      <w:r>
        <w:rPr>
          <w:rFonts w:ascii="Times New Roman" w:hAnsi="Times New Roman"/>
          <w:sz w:val="28"/>
          <w:szCs w:val="24"/>
        </w:rPr>
        <w:t>贵州省计量测试院</w:t>
      </w:r>
    </w:p>
    <w:p w14:paraId="788D96EE">
      <w:pPr>
        <w:pStyle w:val="23"/>
        <w:ind w:firstLine="537" w:firstLineChars="192"/>
        <w:jc w:val="left"/>
        <w:rPr>
          <w:rFonts w:hint="default" w:ascii="Times New Roman" w:hAnsi="Times New Roman"/>
          <w:sz w:val="28"/>
          <w:szCs w:val="24"/>
        </w:rPr>
      </w:pPr>
      <w:r>
        <w:rPr>
          <w:rFonts w:ascii="Times New Roman" w:hAnsi="Times New Roman"/>
          <w:sz w:val="28"/>
          <w:szCs w:val="24"/>
        </w:rPr>
        <w:t xml:space="preserve">              六盘水市检验检测中心</w:t>
      </w:r>
    </w:p>
    <w:p w14:paraId="1E250FFA">
      <w:pPr>
        <w:pStyle w:val="23"/>
        <w:ind w:firstLine="537" w:firstLineChars="192"/>
        <w:jc w:val="left"/>
        <w:rPr>
          <w:rFonts w:hint="default" w:ascii="Times New Roman" w:hAnsi="Times New Roman"/>
          <w:sz w:val="28"/>
          <w:szCs w:val="24"/>
        </w:rPr>
      </w:pPr>
      <w:r>
        <w:rPr>
          <w:rFonts w:ascii="Times New Roman" w:hAnsi="Times New Roman" w:eastAsia="黑体"/>
          <w:sz w:val="28"/>
        </w:rPr>
        <w:t>参加起草单位：</w:t>
      </w:r>
      <w:r>
        <w:rPr>
          <w:rFonts w:ascii="Times New Roman" w:hAnsi="Times New Roman"/>
          <w:sz w:val="28"/>
          <w:szCs w:val="24"/>
        </w:rPr>
        <w:t>黔南州检验检测院</w:t>
      </w:r>
    </w:p>
    <w:p w14:paraId="18B0ECC9">
      <w:pPr>
        <w:pStyle w:val="23"/>
        <w:ind w:firstLine="537" w:firstLineChars="192"/>
        <w:jc w:val="left"/>
        <w:rPr>
          <w:rFonts w:hint="default" w:ascii="Times New Roman" w:hAnsi="Times New Roman"/>
          <w:sz w:val="28"/>
          <w:szCs w:val="24"/>
        </w:rPr>
      </w:pPr>
      <w:r>
        <w:rPr>
          <w:rFonts w:ascii="Times New Roman" w:hAnsi="Times New Roman"/>
          <w:sz w:val="28"/>
          <w:szCs w:val="24"/>
        </w:rPr>
        <w:t xml:space="preserve">              贵州省人民医院</w:t>
      </w:r>
    </w:p>
    <w:p w14:paraId="7D87F154">
      <w:pPr>
        <w:pStyle w:val="23"/>
        <w:ind w:firstLine="2520" w:firstLineChars="900"/>
        <w:jc w:val="left"/>
        <w:rPr>
          <w:rFonts w:hint="default" w:ascii="Times New Roman" w:hAnsi="Times New Roman"/>
          <w:sz w:val="28"/>
          <w:szCs w:val="24"/>
        </w:rPr>
      </w:pPr>
      <w:r>
        <w:rPr>
          <w:rFonts w:ascii="Times New Roman" w:hAnsi="Times New Roman"/>
          <w:sz w:val="28"/>
          <w:szCs w:val="24"/>
        </w:rPr>
        <w:t>贵阳北控水务有限责任公司</w:t>
      </w:r>
    </w:p>
    <w:p w14:paraId="2461CD84">
      <w:pPr>
        <w:pStyle w:val="23"/>
        <w:ind w:left="2520" w:hanging="2520" w:hangingChars="900"/>
        <w:rPr>
          <w:rFonts w:hint="default" w:ascii="Times New Roman" w:hAnsi="Times New Roman" w:eastAsia="黑体"/>
          <w:sz w:val="28"/>
        </w:rPr>
      </w:pPr>
    </w:p>
    <w:p w14:paraId="5715FCD2">
      <w:pPr>
        <w:pStyle w:val="23"/>
        <w:ind w:left="2520" w:hanging="2520" w:hangingChars="900"/>
        <w:rPr>
          <w:rFonts w:hint="default" w:ascii="Times New Roman" w:hAnsi="Times New Roman" w:eastAsia="黑体"/>
          <w:sz w:val="28"/>
        </w:rPr>
      </w:pPr>
    </w:p>
    <w:p w14:paraId="0190E327">
      <w:pPr>
        <w:pStyle w:val="23"/>
        <w:ind w:left="2520" w:hanging="2520" w:hangingChars="900"/>
        <w:rPr>
          <w:rFonts w:hint="default" w:ascii="Times New Roman" w:hAnsi="Times New Roman" w:eastAsia="黑体"/>
          <w:sz w:val="28"/>
        </w:rPr>
      </w:pPr>
    </w:p>
    <w:p w14:paraId="2E6700FF">
      <w:pPr>
        <w:pStyle w:val="23"/>
        <w:rPr>
          <w:rFonts w:hint="default" w:ascii="Times New Roman" w:hAnsi="Times New Roman" w:eastAsia="黑体"/>
          <w:sz w:val="28"/>
        </w:rPr>
      </w:pPr>
    </w:p>
    <w:p w14:paraId="409E0876">
      <w:pPr>
        <w:pStyle w:val="23"/>
        <w:rPr>
          <w:rFonts w:hint="default" w:ascii="Times New Roman" w:hAnsi="Times New Roman" w:eastAsia="黑体"/>
          <w:sz w:val="28"/>
        </w:rPr>
      </w:pPr>
    </w:p>
    <w:p w14:paraId="46943FCE">
      <w:pPr>
        <w:spacing w:line="700" w:lineRule="exact"/>
        <w:rPr>
          <w:rFonts w:eastAsia="黑体"/>
          <w:sz w:val="28"/>
        </w:rPr>
      </w:pPr>
      <w:r>
        <w:rPr>
          <w:rFonts w:hint="eastAsia" w:eastAsia="黑体"/>
          <w:sz w:val="28"/>
        </w:rPr>
        <w:t>本规范委托****负责解释</w:t>
      </w:r>
    </w:p>
    <w:p w14:paraId="4060948F">
      <w:pPr>
        <w:spacing w:line="700" w:lineRule="exact"/>
        <w:rPr>
          <w:rFonts w:eastAsia="黑体"/>
          <w:sz w:val="28"/>
        </w:rPr>
      </w:pPr>
      <w:r>
        <w:rPr>
          <w:rFonts w:eastAsia="黑体"/>
          <w:sz w:val="28"/>
        </w:rPr>
        <w:t>本规范主要起草人：</w:t>
      </w:r>
    </w:p>
    <w:p w14:paraId="542FF9CE">
      <w:pPr>
        <w:ind w:firstLine="2100" w:firstLineChars="750"/>
        <w:jc w:val="left"/>
        <w:rPr>
          <w:rFonts w:eastAsia="黑体"/>
          <w:sz w:val="28"/>
        </w:rPr>
      </w:pPr>
      <w:r>
        <w:rPr>
          <w:rFonts w:hint="eastAsia" w:eastAsia="黑体"/>
          <w:sz w:val="28"/>
        </w:rPr>
        <w:t>肖小庭（贵州省计量测试院）</w:t>
      </w:r>
    </w:p>
    <w:p w14:paraId="27FCDBCA">
      <w:pPr>
        <w:ind w:firstLine="2100" w:firstLineChars="750"/>
        <w:jc w:val="left"/>
        <w:rPr>
          <w:rFonts w:eastAsia="黑体"/>
          <w:sz w:val="28"/>
        </w:rPr>
      </w:pPr>
      <w:r>
        <w:rPr>
          <w:rFonts w:hint="eastAsia" w:eastAsia="黑体"/>
          <w:sz w:val="28"/>
        </w:rPr>
        <w:t>牟圣杰（贵州省计量测试院）</w:t>
      </w:r>
    </w:p>
    <w:p w14:paraId="101B07FB">
      <w:pPr>
        <w:ind w:firstLine="2100" w:firstLineChars="750"/>
        <w:jc w:val="left"/>
        <w:rPr>
          <w:rFonts w:eastAsia="黑体"/>
          <w:sz w:val="28"/>
        </w:rPr>
      </w:pPr>
      <w:r>
        <w:rPr>
          <w:rFonts w:hint="eastAsia" w:eastAsia="黑体"/>
          <w:sz w:val="28"/>
        </w:rPr>
        <w:t>陈  恩（六盘水市检验检测中心）</w:t>
      </w:r>
    </w:p>
    <w:p w14:paraId="4F8F3518">
      <w:pPr>
        <w:spacing w:line="700" w:lineRule="exact"/>
        <w:rPr>
          <w:rFonts w:eastAsia="黑体"/>
          <w:sz w:val="28"/>
        </w:rPr>
      </w:pPr>
      <w:r>
        <w:rPr>
          <w:rFonts w:eastAsia="黑体"/>
          <w:sz w:val="28"/>
        </w:rPr>
        <w:t>本规范参与起草人：</w:t>
      </w:r>
    </w:p>
    <w:p w14:paraId="7C373864">
      <w:pPr>
        <w:ind w:firstLine="2100" w:firstLineChars="750"/>
        <w:jc w:val="left"/>
        <w:rPr>
          <w:rFonts w:eastAsia="黑体"/>
          <w:sz w:val="28"/>
        </w:rPr>
      </w:pPr>
      <w:r>
        <w:rPr>
          <w:rFonts w:hint="eastAsia" w:eastAsia="黑体"/>
          <w:sz w:val="28"/>
        </w:rPr>
        <w:t>罗安华（贵州省计量测试院）</w:t>
      </w:r>
    </w:p>
    <w:p w14:paraId="50C4AD89">
      <w:pPr>
        <w:ind w:firstLine="2100" w:firstLineChars="750"/>
        <w:jc w:val="left"/>
        <w:rPr>
          <w:rFonts w:eastAsia="黑体"/>
          <w:sz w:val="28"/>
        </w:rPr>
      </w:pPr>
      <w:r>
        <w:rPr>
          <w:rFonts w:hint="eastAsia" w:eastAsia="黑体"/>
          <w:sz w:val="28"/>
        </w:rPr>
        <w:t>瞿杨霞（黔南州检验检测院）</w:t>
      </w:r>
    </w:p>
    <w:p w14:paraId="5BA9EA30">
      <w:pPr>
        <w:ind w:firstLine="2100" w:firstLineChars="750"/>
        <w:jc w:val="left"/>
        <w:rPr>
          <w:rFonts w:eastAsia="黑体"/>
          <w:sz w:val="28"/>
        </w:rPr>
      </w:pPr>
      <w:r>
        <w:rPr>
          <w:rFonts w:hint="eastAsia" w:eastAsia="黑体"/>
          <w:sz w:val="28"/>
        </w:rPr>
        <w:t>张文媛（贵州省人民医院）</w:t>
      </w:r>
    </w:p>
    <w:p w14:paraId="2EBDFCC9">
      <w:pPr>
        <w:ind w:firstLine="2100" w:firstLineChars="750"/>
        <w:jc w:val="left"/>
        <w:rPr>
          <w:rFonts w:eastAsia="黑体"/>
          <w:sz w:val="28"/>
        </w:rPr>
      </w:pPr>
      <w:r>
        <w:rPr>
          <w:rFonts w:hint="eastAsia" w:eastAsia="黑体"/>
          <w:sz w:val="28"/>
        </w:rPr>
        <w:t>林  洁（贵阳北控水务有限责任公司）</w:t>
      </w:r>
    </w:p>
    <w:p w14:paraId="43F4AAB7">
      <w:pPr>
        <w:tabs>
          <w:tab w:val="left" w:pos="2127"/>
          <w:tab w:val="left" w:pos="2552"/>
        </w:tabs>
        <w:ind w:firstLine="2400" w:firstLineChars="750"/>
        <w:rPr>
          <w:rFonts w:eastAsia="黑体"/>
          <w:sz w:val="32"/>
        </w:rPr>
      </w:pPr>
    </w:p>
    <w:p w14:paraId="1C4615E2">
      <w:pPr>
        <w:pStyle w:val="23"/>
        <w:spacing w:line="400" w:lineRule="exact"/>
        <w:jc w:val="center"/>
        <w:rPr>
          <w:rFonts w:hint="default" w:ascii="Times New Roman" w:hAnsi="Times New Roman" w:eastAsia="黑体"/>
          <w:sz w:val="32"/>
        </w:rPr>
      </w:pPr>
    </w:p>
    <w:p w14:paraId="47C24C0E">
      <w:pPr>
        <w:pStyle w:val="23"/>
        <w:spacing w:line="400" w:lineRule="exact"/>
        <w:jc w:val="center"/>
        <w:rPr>
          <w:rFonts w:hint="default" w:ascii="Times New Roman" w:hAnsi="Times New Roman" w:eastAsia="黑体"/>
          <w:sz w:val="32"/>
        </w:rPr>
      </w:pPr>
    </w:p>
    <w:p w14:paraId="03EC7D78">
      <w:pPr>
        <w:pStyle w:val="23"/>
        <w:spacing w:line="400" w:lineRule="exact"/>
        <w:jc w:val="center"/>
        <w:rPr>
          <w:rFonts w:hint="default" w:ascii="Times New Roman" w:hAnsi="Times New Roman" w:eastAsia="黑体"/>
          <w:sz w:val="32"/>
        </w:rPr>
      </w:pPr>
    </w:p>
    <w:p w14:paraId="229629E8">
      <w:pPr>
        <w:pStyle w:val="23"/>
        <w:spacing w:line="400" w:lineRule="exact"/>
        <w:jc w:val="center"/>
        <w:rPr>
          <w:rFonts w:hint="default" w:ascii="Times New Roman" w:hAnsi="Times New Roman" w:eastAsia="黑体"/>
          <w:sz w:val="32"/>
        </w:rPr>
      </w:pPr>
    </w:p>
    <w:p w14:paraId="75D25D6E">
      <w:pPr>
        <w:pStyle w:val="23"/>
        <w:spacing w:line="400" w:lineRule="exact"/>
        <w:jc w:val="center"/>
        <w:rPr>
          <w:rFonts w:hint="default" w:ascii="Times New Roman" w:hAnsi="Times New Roman" w:eastAsia="黑体"/>
          <w:sz w:val="32"/>
        </w:rPr>
      </w:pPr>
    </w:p>
    <w:p w14:paraId="22572EFD">
      <w:pPr>
        <w:pStyle w:val="23"/>
        <w:spacing w:line="400" w:lineRule="exact"/>
        <w:jc w:val="center"/>
        <w:rPr>
          <w:rFonts w:hint="default" w:ascii="Times New Roman" w:hAnsi="Times New Roman" w:eastAsia="黑体"/>
          <w:sz w:val="32"/>
        </w:rPr>
      </w:pPr>
    </w:p>
    <w:p w14:paraId="05B2544A">
      <w:pPr>
        <w:pStyle w:val="23"/>
        <w:spacing w:line="400" w:lineRule="exact"/>
        <w:jc w:val="center"/>
        <w:rPr>
          <w:rFonts w:hint="default" w:ascii="Times New Roman" w:hAnsi="Times New Roman" w:eastAsia="黑体"/>
          <w:sz w:val="32"/>
        </w:rPr>
      </w:pPr>
    </w:p>
    <w:p w14:paraId="25584D16">
      <w:pPr>
        <w:pStyle w:val="23"/>
        <w:spacing w:line="400" w:lineRule="exact"/>
        <w:jc w:val="center"/>
        <w:rPr>
          <w:rFonts w:hint="default" w:ascii="Times New Roman" w:hAnsi="Times New Roman" w:eastAsia="黑体"/>
          <w:sz w:val="32"/>
        </w:rPr>
      </w:pPr>
    </w:p>
    <w:p w14:paraId="4792134B">
      <w:pPr>
        <w:pStyle w:val="23"/>
        <w:spacing w:line="400" w:lineRule="exact"/>
        <w:jc w:val="center"/>
        <w:rPr>
          <w:rFonts w:hint="default" w:ascii="Times New Roman" w:hAnsi="Times New Roman" w:eastAsia="黑体"/>
          <w:sz w:val="32"/>
        </w:rPr>
      </w:pPr>
    </w:p>
    <w:p w14:paraId="49FAF6F7">
      <w:pPr>
        <w:pStyle w:val="23"/>
        <w:spacing w:line="400" w:lineRule="exact"/>
        <w:jc w:val="center"/>
        <w:rPr>
          <w:rFonts w:hint="default" w:ascii="Times New Roman" w:hAnsi="Times New Roman" w:eastAsia="黑体"/>
          <w:sz w:val="32"/>
        </w:rPr>
      </w:pPr>
    </w:p>
    <w:p w14:paraId="3BE14FF3">
      <w:pPr>
        <w:pStyle w:val="23"/>
        <w:spacing w:line="400" w:lineRule="exact"/>
        <w:jc w:val="center"/>
        <w:rPr>
          <w:rFonts w:hint="default" w:ascii="Times New Roman" w:hAnsi="Times New Roman" w:eastAsia="黑体"/>
          <w:sz w:val="32"/>
        </w:rPr>
      </w:pPr>
    </w:p>
    <w:p w14:paraId="6A88AC9A">
      <w:pPr>
        <w:pStyle w:val="23"/>
        <w:spacing w:line="400" w:lineRule="exact"/>
        <w:rPr>
          <w:rFonts w:hint="default" w:ascii="Times New Roman" w:hAnsi="Times New Roman" w:eastAsia="黑体"/>
          <w:sz w:val="32"/>
        </w:rPr>
      </w:pPr>
    </w:p>
    <w:p w14:paraId="18528343">
      <w:pPr>
        <w:pStyle w:val="23"/>
        <w:spacing w:line="400" w:lineRule="exact"/>
        <w:jc w:val="center"/>
        <w:rPr>
          <w:rFonts w:hint="default" w:ascii="Times New Roman" w:hAnsi="Times New Roman" w:eastAsia="黑体"/>
          <w:sz w:val="32"/>
        </w:rPr>
        <w:sectPr>
          <w:headerReference r:id="rId3" w:type="default"/>
          <w:footerReference r:id="rId4" w:type="default"/>
          <w:footerReference r:id="rId5" w:type="even"/>
          <w:pgSz w:w="11906" w:h="16838"/>
          <w:pgMar w:top="1418" w:right="1531" w:bottom="1418" w:left="1531" w:header="851" w:footer="992" w:gutter="0"/>
          <w:pgNumType w:start="0"/>
          <w:cols w:space="425" w:num="1"/>
          <w:titlePg/>
          <w:docGrid w:type="lines" w:linePitch="312" w:charSpace="0"/>
        </w:sectPr>
      </w:pPr>
    </w:p>
    <w:p w14:paraId="308269B9">
      <w:pPr>
        <w:widowControl/>
        <w:jc w:val="left"/>
        <w:rPr>
          <w:rFonts w:eastAsia="黑体"/>
          <w:sz w:val="44"/>
          <w:szCs w:val="44"/>
        </w:rPr>
        <w:sectPr>
          <w:footerReference r:id="rId6" w:type="default"/>
          <w:type w:val="continuous"/>
          <w:pgSz w:w="11906" w:h="16838"/>
          <w:pgMar w:top="1418" w:right="1531" w:bottom="1418" w:left="1531" w:header="851" w:footer="992" w:gutter="0"/>
          <w:pgNumType w:fmt="upperRoman" w:start="1"/>
          <w:cols w:space="425" w:num="1"/>
          <w:docGrid w:type="lines" w:linePitch="312" w:charSpace="0"/>
        </w:sectPr>
      </w:pPr>
      <w:r>
        <w:rPr>
          <w:rFonts w:eastAsia="黑体"/>
          <w:sz w:val="44"/>
          <w:szCs w:val="44"/>
        </w:rPr>
        <w:br w:type="page"/>
      </w:r>
    </w:p>
    <w:p w14:paraId="161EA385">
      <w:pPr>
        <w:widowControl/>
        <w:jc w:val="left"/>
        <w:rPr>
          <w:rFonts w:eastAsia="黑体"/>
          <w:sz w:val="44"/>
          <w:szCs w:val="44"/>
        </w:rPr>
      </w:pPr>
    </w:p>
    <w:p w14:paraId="3073D978">
      <w:pPr>
        <w:jc w:val="center"/>
        <w:rPr>
          <w:rFonts w:eastAsia="黑体"/>
          <w:bCs/>
          <w:sz w:val="28"/>
          <w:szCs w:val="21"/>
        </w:rPr>
      </w:pPr>
      <w:r>
        <w:rPr>
          <w:rFonts w:eastAsia="黑体"/>
          <w:sz w:val="44"/>
          <w:szCs w:val="44"/>
        </w:rPr>
        <w:t>目录</w:t>
      </w:r>
    </w:p>
    <w:p w14:paraId="676A9440">
      <w:pPr>
        <w:pStyle w:val="137"/>
        <w:adjustRightInd w:val="0"/>
        <w:snapToGrid w:val="0"/>
        <w:spacing w:before="0" w:line="240" w:lineRule="auto"/>
        <w:rPr>
          <w:rFonts w:ascii="Times New Roman" w:hAnsi="Times New Roman" w:cs="Times New Roman"/>
          <w:color w:val="auto"/>
        </w:rPr>
      </w:pPr>
    </w:p>
    <w:p w14:paraId="7EC65C46">
      <w:pPr>
        <w:pStyle w:val="17"/>
        <w:tabs>
          <w:tab w:val="right" w:leader="dot" w:pos="8834"/>
        </w:tabs>
        <w:rPr>
          <w:rFonts w:asciiTheme="minorHAnsi" w:hAnsiTheme="minorHAnsi" w:eastAsiaTheme="minorEastAsia" w:cstheme="minorBidi"/>
          <w:kern w:val="2"/>
          <w:szCs w:val="22"/>
        </w:rPr>
      </w:pPr>
      <w:r>
        <w:rPr>
          <w:rFonts w:ascii="Times New Roman" w:eastAsiaTheme="minorEastAsia"/>
          <w:sz w:val="24"/>
          <w:szCs w:val="24"/>
        </w:rPr>
        <w:fldChar w:fldCharType="begin"/>
      </w:r>
      <w:r>
        <w:rPr>
          <w:rFonts w:ascii="Times New Roman" w:eastAsiaTheme="minorEastAsia"/>
          <w:sz w:val="24"/>
          <w:szCs w:val="24"/>
        </w:rPr>
        <w:instrText xml:space="preserve"> TOC \o "1-3" \h \z \u </w:instrText>
      </w:r>
      <w:r>
        <w:rPr>
          <w:rFonts w:ascii="Times New Roman" w:eastAsiaTheme="minorEastAsia"/>
          <w:sz w:val="24"/>
          <w:szCs w:val="24"/>
        </w:rPr>
        <w:fldChar w:fldCharType="separate"/>
      </w:r>
      <w:r>
        <w:fldChar w:fldCharType="begin"/>
      </w:r>
      <w:r>
        <w:instrText xml:space="preserve"> HYPERLINK \l "_Toc192517499" </w:instrText>
      </w:r>
      <w:r>
        <w:fldChar w:fldCharType="separate"/>
      </w:r>
      <w:r>
        <w:rPr>
          <w:rStyle w:val="46"/>
          <w:rFonts w:eastAsia="黑体"/>
        </w:rPr>
        <w:t>引言</w:t>
      </w:r>
      <w:r>
        <w:tab/>
      </w:r>
      <w:r>
        <w:fldChar w:fldCharType="begin"/>
      </w:r>
      <w:r>
        <w:instrText xml:space="preserve"> PAGEREF _Toc192517499 \h </w:instrText>
      </w:r>
      <w:r>
        <w:fldChar w:fldCharType="separate"/>
      </w:r>
      <w:r>
        <w:t>II</w:t>
      </w:r>
      <w:r>
        <w:fldChar w:fldCharType="end"/>
      </w:r>
      <w:r>
        <w:fldChar w:fldCharType="end"/>
      </w:r>
    </w:p>
    <w:p w14:paraId="1ACEE164">
      <w:pPr>
        <w:pStyle w:val="17"/>
        <w:tabs>
          <w:tab w:val="right" w:leader="dot" w:pos="8834"/>
        </w:tabs>
        <w:rPr>
          <w:rFonts w:asciiTheme="minorHAnsi" w:hAnsiTheme="minorHAnsi" w:eastAsiaTheme="minorEastAsia" w:cstheme="minorBidi"/>
          <w:kern w:val="2"/>
          <w:szCs w:val="22"/>
        </w:rPr>
      </w:pPr>
      <w:r>
        <w:fldChar w:fldCharType="begin"/>
      </w:r>
      <w:r>
        <w:instrText xml:space="preserve"> HYPERLINK \l "_Toc192517500" </w:instrText>
      </w:r>
      <w:r>
        <w:fldChar w:fldCharType="separate"/>
      </w:r>
      <w:r>
        <w:rPr>
          <w:rStyle w:val="46"/>
          <w:rFonts w:eastAsia="黑体"/>
        </w:rPr>
        <w:t>1范围</w:t>
      </w:r>
      <w:r>
        <w:tab/>
      </w:r>
      <w:r>
        <w:fldChar w:fldCharType="begin"/>
      </w:r>
      <w:r>
        <w:instrText xml:space="preserve"> PAGEREF _Toc192517500 \h </w:instrText>
      </w:r>
      <w:r>
        <w:fldChar w:fldCharType="separate"/>
      </w:r>
      <w:r>
        <w:t>1</w:t>
      </w:r>
      <w:r>
        <w:fldChar w:fldCharType="end"/>
      </w:r>
      <w:r>
        <w:fldChar w:fldCharType="end"/>
      </w:r>
    </w:p>
    <w:p w14:paraId="0DA98BD4">
      <w:pPr>
        <w:pStyle w:val="17"/>
        <w:tabs>
          <w:tab w:val="right" w:leader="dot" w:pos="8834"/>
        </w:tabs>
        <w:rPr>
          <w:rFonts w:asciiTheme="minorHAnsi" w:hAnsiTheme="minorHAnsi" w:eastAsiaTheme="minorEastAsia" w:cstheme="minorBidi"/>
          <w:kern w:val="2"/>
          <w:szCs w:val="22"/>
        </w:rPr>
      </w:pPr>
      <w:r>
        <w:fldChar w:fldCharType="begin"/>
      </w:r>
      <w:r>
        <w:instrText xml:space="preserve"> HYPERLINK \l "_Toc192517501" </w:instrText>
      </w:r>
      <w:r>
        <w:fldChar w:fldCharType="separate"/>
      </w:r>
      <w:r>
        <w:rPr>
          <w:rStyle w:val="46"/>
          <w:rFonts w:eastAsia="黑体"/>
        </w:rPr>
        <w:t>2引用文件</w:t>
      </w:r>
      <w:r>
        <w:tab/>
      </w:r>
      <w:r>
        <w:fldChar w:fldCharType="begin"/>
      </w:r>
      <w:r>
        <w:instrText xml:space="preserve"> PAGEREF _Toc192517501 \h </w:instrText>
      </w:r>
      <w:r>
        <w:fldChar w:fldCharType="separate"/>
      </w:r>
      <w:r>
        <w:t>1</w:t>
      </w:r>
      <w:r>
        <w:fldChar w:fldCharType="end"/>
      </w:r>
      <w:r>
        <w:fldChar w:fldCharType="end"/>
      </w:r>
    </w:p>
    <w:p w14:paraId="3C65F6F8">
      <w:pPr>
        <w:pStyle w:val="17"/>
        <w:tabs>
          <w:tab w:val="right" w:leader="dot" w:pos="8834"/>
        </w:tabs>
        <w:rPr>
          <w:rFonts w:asciiTheme="minorHAnsi" w:hAnsiTheme="minorHAnsi" w:eastAsiaTheme="minorEastAsia" w:cstheme="minorBidi"/>
          <w:kern w:val="2"/>
          <w:szCs w:val="22"/>
        </w:rPr>
      </w:pPr>
      <w:r>
        <w:fldChar w:fldCharType="begin"/>
      </w:r>
      <w:r>
        <w:instrText xml:space="preserve"> HYPERLINK \l "_Toc192517502" </w:instrText>
      </w:r>
      <w:r>
        <w:fldChar w:fldCharType="separate"/>
      </w:r>
      <w:r>
        <w:rPr>
          <w:rStyle w:val="46"/>
          <w:rFonts w:eastAsia="黑体"/>
        </w:rPr>
        <w:t>3 术语</w:t>
      </w:r>
      <w:r>
        <w:tab/>
      </w:r>
      <w:r>
        <w:fldChar w:fldCharType="begin"/>
      </w:r>
      <w:r>
        <w:instrText xml:space="preserve"> PAGEREF _Toc192517502 \h </w:instrText>
      </w:r>
      <w:r>
        <w:fldChar w:fldCharType="separate"/>
      </w:r>
      <w:r>
        <w:t>1</w:t>
      </w:r>
      <w:r>
        <w:fldChar w:fldCharType="end"/>
      </w:r>
      <w:r>
        <w:fldChar w:fldCharType="end"/>
      </w:r>
    </w:p>
    <w:p w14:paraId="2EC04F5A">
      <w:pPr>
        <w:pStyle w:val="17"/>
        <w:tabs>
          <w:tab w:val="right" w:leader="dot" w:pos="8834"/>
        </w:tabs>
        <w:rPr>
          <w:rFonts w:asciiTheme="minorHAnsi" w:hAnsiTheme="minorHAnsi" w:eastAsiaTheme="minorEastAsia" w:cstheme="minorBidi"/>
          <w:kern w:val="2"/>
          <w:szCs w:val="22"/>
        </w:rPr>
      </w:pPr>
      <w:r>
        <w:fldChar w:fldCharType="begin"/>
      </w:r>
      <w:r>
        <w:instrText xml:space="preserve"> HYPERLINK \l "_Toc192517503" </w:instrText>
      </w:r>
      <w:r>
        <w:fldChar w:fldCharType="separate"/>
      </w:r>
      <w:r>
        <w:rPr>
          <w:rStyle w:val="46"/>
          <w:rFonts w:eastAsia="黑体"/>
        </w:rPr>
        <w:t>4 概述</w:t>
      </w:r>
      <w:r>
        <w:tab/>
      </w:r>
      <w:r>
        <w:fldChar w:fldCharType="begin"/>
      </w:r>
      <w:r>
        <w:instrText xml:space="preserve"> PAGEREF _Toc192517503 \h </w:instrText>
      </w:r>
      <w:r>
        <w:fldChar w:fldCharType="separate"/>
      </w:r>
      <w:r>
        <w:t>2</w:t>
      </w:r>
      <w:r>
        <w:fldChar w:fldCharType="end"/>
      </w:r>
      <w:r>
        <w:fldChar w:fldCharType="end"/>
      </w:r>
    </w:p>
    <w:p w14:paraId="22B0FF92">
      <w:pPr>
        <w:pStyle w:val="17"/>
        <w:tabs>
          <w:tab w:val="right" w:leader="dot" w:pos="8834"/>
        </w:tabs>
        <w:rPr>
          <w:rFonts w:asciiTheme="minorHAnsi" w:hAnsiTheme="minorHAnsi" w:eastAsiaTheme="minorEastAsia" w:cstheme="minorBidi"/>
          <w:kern w:val="2"/>
          <w:szCs w:val="22"/>
        </w:rPr>
      </w:pPr>
      <w:r>
        <w:fldChar w:fldCharType="begin"/>
      </w:r>
      <w:r>
        <w:instrText xml:space="preserve"> HYPERLINK \l "_Toc192517504" </w:instrText>
      </w:r>
      <w:r>
        <w:fldChar w:fldCharType="separate"/>
      </w:r>
      <w:r>
        <w:rPr>
          <w:rStyle w:val="46"/>
          <w:rFonts w:eastAsia="黑体"/>
        </w:rPr>
        <w:t>5计量特性</w:t>
      </w:r>
      <w:r>
        <w:tab/>
      </w:r>
      <w:r>
        <w:fldChar w:fldCharType="begin"/>
      </w:r>
      <w:r>
        <w:instrText xml:space="preserve"> PAGEREF _Toc192517504 \h </w:instrText>
      </w:r>
      <w:r>
        <w:fldChar w:fldCharType="separate"/>
      </w:r>
      <w:r>
        <w:t>2</w:t>
      </w:r>
      <w:r>
        <w:fldChar w:fldCharType="end"/>
      </w:r>
      <w:r>
        <w:fldChar w:fldCharType="end"/>
      </w:r>
    </w:p>
    <w:p w14:paraId="7B494FA3">
      <w:pPr>
        <w:pStyle w:val="15"/>
        <w:tabs>
          <w:tab w:val="right" w:leader="dot" w:pos="8834"/>
        </w:tabs>
        <w:rPr>
          <w:rFonts w:asciiTheme="minorHAnsi" w:hAnsiTheme="minorHAnsi" w:eastAsiaTheme="minorEastAsia" w:cstheme="minorBidi"/>
          <w:kern w:val="2"/>
          <w:szCs w:val="22"/>
        </w:rPr>
      </w:pPr>
      <w:r>
        <w:fldChar w:fldCharType="begin"/>
      </w:r>
      <w:r>
        <w:instrText xml:space="preserve"> HYPERLINK \l "_Toc192517505" </w:instrText>
      </w:r>
      <w:r>
        <w:fldChar w:fldCharType="separate"/>
      </w:r>
      <w:r>
        <w:rPr>
          <w:rStyle w:val="46"/>
        </w:rPr>
        <w:t>5.1</w:t>
      </w:r>
      <w:r>
        <w:rPr>
          <w:rStyle w:val="46"/>
          <w:rFonts w:hint="eastAsia"/>
        </w:rPr>
        <w:t>温度</w:t>
      </w:r>
      <w:r>
        <w:rPr>
          <w:rStyle w:val="46"/>
        </w:rPr>
        <w:t>示值误差</w:t>
      </w:r>
      <w:r>
        <w:tab/>
      </w:r>
      <w:r>
        <w:fldChar w:fldCharType="begin"/>
      </w:r>
      <w:r>
        <w:instrText xml:space="preserve"> PAGEREF _Toc192517505 \h </w:instrText>
      </w:r>
      <w:r>
        <w:fldChar w:fldCharType="separate"/>
      </w:r>
      <w:r>
        <w:t>2</w:t>
      </w:r>
      <w:r>
        <w:fldChar w:fldCharType="end"/>
      </w:r>
      <w:r>
        <w:fldChar w:fldCharType="end"/>
      </w:r>
    </w:p>
    <w:p w14:paraId="645AC84E">
      <w:pPr>
        <w:pStyle w:val="15"/>
        <w:tabs>
          <w:tab w:val="right" w:leader="dot" w:pos="8834"/>
        </w:tabs>
        <w:rPr>
          <w:rFonts w:asciiTheme="minorHAnsi" w:hAnsiTheme="minorHAnsi" w:eastAsiaTheme="minorEastAsia" w:cstheme="minorBidi"/>
          <w:kern w:val="2"/>
          <w:szCs w:val="22"/>
        </w:rPr>
      </w:pPr>
      <w:r>
        <w:fldChar w:fldCharType="begin"/>
      </w:r>
      <w:r>
        <w:instrText xml:space="preserve"> HYPERLINK \l "_Toc192517506" </w:instrText>
      </w:r>
      <w:r>
        <w:fldChar w:fldCharType="separate"/>
      </w:r>
      <w:r>
        <w:rPr>
          <w:rStyle w:val="46"/>
        </w:rPr>
        <w:t>5.2</w:t>
      </w:r>
      <w:r>
        <w:rPr>
          <w:rStyle w:val="46"/>
          <w:rFonts w:hint="eastAsia"/>
        </w:rPr>
        <w:t>温度</w:t>
      </w:r>
      <w:r>
        <w:rPr>
          <w:rStyle w:val="46"/>
        </w:rPr>
        <w:t>示值一致性</w:t>
      </w:r>
      <w:r>
        <w:tab/>
      </w:r>
      <w:r>
        <w:fldChar w:fldCharType="begin"/>
      </w:r>
      <w:r>
        <w:instrText xml:space="preserve"> PAGEREF _Toc192517506 \h </w:instrText>
      </w:r>
      <w:r>
        <w:fldChar w:fldCharType="separate"/>
      </w:r>
      <w:r>
        <w:t>3</w:t>
      </w:r>
      <w:r>
        <w:fldChar w:fldCharType="end"/>
      </w:r>
      <w:r>
        <w:fldChar w:fldCharType="end"/>
      </w:r>
    </w:p>
    <w:p w14:paraId="09C35279">
      <w:pPr>
        <w:pStyle w:val="17"/>
        <w:tabs>
          <w:tab w:val="right" w:leader="dot" w:pos="8834"/>
        </w:tabs>
        <w:rPr>
          <w:rFonts w:asciiTheme="minorHAnsi" w:hAnsiTheme="minorHAnsi" w:eastAsiaTheme="minorEastAsia" w:cstheme="minorBidi"/>
          <w:kern w:val="2"/>
          <w:szCs w:val="22"/>
        </w:rPr>
      </w:pPr>
      <w:r>
        <w:fldChar w:fldCharType="begin"/>
      </w:r>
      <w:r>
        <w:instrText xml:space="preserve"> HYPERLINK \l "_Toc192517508" </w:instrText>
      </w:r>
      <w:r>
        <w:fldChar w:fldCharType="separate"/>
      </w:r>
      <w:r>
        <w:rPr>
          <w:rStyle w:val="46"/>
          <w:rFonts w:eastAsia="黑体"/>
        </w:rPr>
        <w:t>6 校准条件</w:t>
      </w:r>
      <w:r>
        <w:tab/>
      </w:r>
      <w:r>
        <w:fldChar w:fldCharType="begin"/>
      </w:r>
      <w:r>
        <w:instrText xml:space="preserve"> PAGEREF _Toc192517508 \h </w:instrText>
      </w:r>
      <w:r>
        <w:fldChar w:fldCharType="separate"/>
      </w:r>
      <w:r>
        <w:t>3</w:t>
      </w:r>
      <w:r>
        <w:fldChar w:fldCharType="end"/>
      </w:r>
      <w:r>
        <w:fldChar w:fldCharType="end"/>
      </w:r>
    </w:p>
    <w:p w14:paraId="253FA248">
      <w:pPr>
        <w:pStyle w:val="15"/>
        <w:tabs>
          <w:tab w:val="right" w:leader="dot" w:pos="8834"/>
        </w:tabs>
        <w:rPr>
          <w:rFonts w:asciiTheme="minorHAnsi" w:hAnsiTheme="minorHAnsi" w:eastAsiaTheme="minorEastAsia" w:cstheme="minorBidi"/>
          <w:kern w:val="2"/>
          <w:szCs w:val="22"/>
        </w:rPr>
      </w:pPr>
      <w:r>
        <w:fldChar w:fldCharType="begin"/>
      </w:r>
      <w:r>
        <w:instrText xml:space="preserve"> HYPERLINK \l "_Toc192517509" </w:instrText>
      </w:r>
      <w:r>
        <w:fldChar w:fldCharType="separate"/>
      </w:r>
      <w:r>
        <w:rPr>
          <w:rStyle w:val="46"/>
        </w:rPr>
        <w:t>6.1 环境条件</w:t>
      </w:r>
      <w:r>
        <w:tab/>
      </w:r>
      <w:r>
        <w:fldChar w:fldCharType="begin"/>
      </w:r>
      <w:r>
        <w:instrText xml:space="preserve"> PAGEREF _Toc192517509 \h </w:instrText>
      </w:r>
      <w:r>
        <w:fldChar w:fldCharType="separate"/>
      </w:r>
      <w:r>
        <w:t>3</w:t>
      </w:r>
      <w:r>
        <w:fldChar w:fldCharType="end"/>
      </w:r>
      <w:r>
        <w:fldChar w:fldCharType="end"/>
      </w:r>
    </w:p>
    <w:p w14:paraId="15417216">
      <w:pPr>
        <w:pStyle w:val="15"/>
        <w:tabs>
          <w:tab w:val="right" w:leader="dot" w:pos="8834"/>
        </w:tabs>
        <w:rPr>
          <w:rFonts w:asciiTheme="minorHAnsi" w:hAnsiTheme="minorHAnsi" w:eastAsiaTheme="minorEastAsia" w:cstheme="minorBidi"/>
          <w:kern w:val="2"/>
          <w:szCs w:val="22"/>
        </w:rPr>
      </w:pPr>
      <w:r>
        <w:fldChar w:fldCharType="begin"/>
      </w:r>
      <w:r>
        <w:instrText xml:space="preserve"> HYPERLINK \l "_Toc192517510" </w:instrText>
      </w:r>
      <w:r>
        <w:fldChar w:fldCharType="separate"/>
      </w:r>
      <w:r>
        <w:rPr>
          <w:rStyle w:val="46"/>
        </w:rPr>
        <w:t>6.2测量标准及其他设备</w:t>
      </w:r>
      <w:r>
        <w:tab/>
      </w:r>
      <w:r>
        <w:fldChar w:fldCharType="begin"/>
      </w:r>
      <w:r>
        <w:instrText xml:space="preserve"> PAGEREF _Toc192517510 \h </w:instrText>
      </w:r>
      <w:r>
        <w:fldChar w:fldCharType="separate"/>
      </w:r>
      <w:r>
        <w:t>3</w:t>
      </w:r>
      <w:r>
        <w:fldChar w:fldCharType="end"/>
      </w:r>
      <w:r>
        <w:fldChar w:fldCharType="end"/>
      </w:r>
    </w:p>
    <w:p w14:paraId="0AC265E0">
      <w:pPr>
        <w:pStyle w:val="17"/>
        <w:tabs>
          <w:tab w:val="right" w:leader="dot" w:pos="8834"/>
        </w:tabs>
        <w:rPr>
          <w:rFonts w:asciiTheme="minorHAnsi" w:hAnsiTheme="minorHAnsi" w:eastAsiaTheme="minorEastAsia" w:cstheme="minorBidi"/>
          <w:kern w:val="2"/>
          <w:szCs w:val="22"/>
        </w:rPr>
      </w:pPr>
      <w:r>
        <w:fldChar w:fldCharType="begin"/>
      </w:r>
      <w:r>
        <w:instrText xml:space="preserve"> HYPERLINK \l "_Toc192517511" </w:instrText>
      </w:r>
      <w:r>
        <w:fldChar w:fldCharType="separate"/>
      </w:r>
      <w:r>
        <w:rPr>
          <w:rStyle w:val="46"/>
          <w:rFonts w:eastAsia="黑体"/>
        </w:rPr>
        <w:t>7校准项目和校准方法</w:t>
      </w:r>
      <w:r>
        <w:tab/>
      </w:r>
      <w:r>
        <w:fldChar w:fldCharType="begin"/>
      </w:r>
      <w:r>
        <w:instrText xml:space="preserve"> PAGEREF _Toc192517511 \h </w:instrText>
      </w:r>
      <w:r>
        <w:fldChar w:fldCharType="separate"/>
      </w:r>
      <w:r>
        <w:t>4</w:t>
      </w:r>
      <w:r>
        <w:fldChar w:fldCharType="end"/>
      </w:r>
      <w:r>
        <w:fldChar w:fldCharType="end"/>
      </w:r>
    </w:p>
    <w:p w14:paraId="5ECAF879">
      <w:pPr>
        <w:pStyle w:val="15"/>
        <w:tabs>
          <w:tab w:val="right" w:leader="dot" w:pos="8834"/>
        </w:tabs>
        <w:rPr>
          <w:rFonts w:asciiTheme="minorHAnsi" w:hAnsiTheme="minorHAnsi" w:eastAsiaTheme="minorEastAsia" w:cstheme="minorBidi"/>
          <w:kern w:val="2"/>
          <w:szCs w:val="22"/>
        </w:rPr>
      </w:pPr>
      <w:r>
        <w:fldChar w:fldCharType="begin"/>
      </w:r>
      <w:r>
        <w:instrText xml:space="preserve"> HYPERLINK \l "_Toc192517512" </w:instrText>
      </w:r>
      <w:r>
        <w:fldChar w:fldCharType="separate"/>
      </w:r>
      <w:r>
        <w:rPr>
          <w:rStyle w:val="46"/>
        </w:rPr>
        <w:t>7.1校准项目</w:t>
      </w:r>
      <w:r>
        <w:tab/>
      </w:r>
      <w:r>
        <w:rPr>
          <w:rFonts w:hint="eastAsia"/>
        </w:rPr>
        <w:t>4</w:t>
      </w:r>
      <w:r>
        <w:rPr>
          <w:rFonts w:hint="eastAsia"/>
        </w:rPr>
        <w:fldChar w:fldCharType="end"/>
      </w:r>
    </w:p>
    <w:p w14:paraId="2BAB1958">
      <w:pPr>
        <w:pStyle w:val="15"/>
        <w:tabs>
          <w:tab w:val="right" w:leader="dot" w:pos="8834"/>
        </w:tabs>
        <w:rPr>
          <w:rFonts w:asciiTheme="minorHAnsi" w:hAnsiTheme="minorHAnsi" w:eastAsiaTheme="minorEastAsia" w:cstheme="minorBidi"/>
          <w:kern w:val="2"/>
          <w:szCs w:val="22"/>
        </w:rPr>
      </w:pPr>
      <w:r>
        <w:fldChar w:fldCharType="begin"/>
      </w:r>
      <w:r>
        <w:instrText xml:space="preserve"> HYPERLINK \l "_Toc192517513" </w:instrText>
      </w:r>
      <w:r>
        <w:fldChar w:fldCharType="separate"/>
      </w:r>
      <w:r>
        <w:rPr>
          <w:rStyle w:val="46"/>
        </w:rPr>
        <w:t>7.2校准前检查</w:t>
      </w:r>
      <w:r>
        <w:tab/>
      </w:r>
      <w:r>
        <w:rPr>
          <w:rFonts w:hint="eastAsia"/>
        </w:rPr>
        <w:t>4</w:t>
      </w:r>
      <w:r>
        <w:rPr>
          <w:rFonts w:hint="eastAsia"/>
        </w:rPr>
        <w:fldChar w:fldCharType="end"/>
      </w:r>
    </w:p>
    <w:p w14:paraId="5DF80136">
      <w:pPr>
        <w:pStyle w:val="15"/>
        <w:tabs>
          <w:tab w:val="right" w:leader="dot" w:pos="8834"/>
        </w:tabs>
        <w:rPr>
          <w:rFonts w:asciiTheme="minorHAnsi" w:hAnsiTheme="minorHAnsi" w:eastAsiaTheme="minorEastAsia" w:cstheme="minorBidi"/>
          <w:kern w:val="2"/>
          <w:szCs w:val="22"/>
        </w:rPr>
      </w:pPr>
      <w:r>
        <w:fldChar w:fldCharType="begin"/>
      </w:r>
      <w:r>
        <w:instrText xml:space="preserve"> HYPERLINK \l "_Toc192517514" </w:instrText>
      </w:r>
      <w:r>
        <w:fldChar w:fldCharType="separate"/>
      </w:r>
      <w:r>
        <w:rPr>
          <w:rStyle w:val="46"/>
        </w:rPr>
        <w:t>7.</w:t>
      </w:r>
      <w:r>
        <w:rPr>
          <w:rStyle w:val="46"/>
          <w:rFonts w:hint="eastAsia"/>
        </w:rPr>
        <w:t>3</w:t>
      </w:r>
      <w:r>
        <w:rPr>
          <w:rStyle w:val="46"/>
        </w:rPr>
        <w:t>校准方法</w:t>
      </w:r>
      <w:r>
        <w:tab/>
      </w:r>
      <w:r>
        <w:rPr>
          <w:rFonts w:hint="eastAsia"/>
        </w:rPr>
        <w:t>4</w:t>
      </w:r>
      <w:r>
        <w:rPr>
          <w:rFonts w:hint="eastAsia"/>
        </w:rPr>
        <w:fldChar w:fldCharType="end"/>
      </w:r>
    </w:p>
    <w:p w14:paraId="0E534FF5">
      <w:pPr>
        <w:pStyle w:val="17"/>
        <w:tabs>
          <w:tab w:val="right" w:leader="dot" w:pos="8834"/>
        </w:tabs>
        <w:rPr>
          <w:rFonts w:asciiTheme="minorHAnsi" w:hAnsiTheme="minorHAnsi" w:eastAsiaTheme="minorEastAsia" w:cstheme="minorBidi"/>
          <w:kern w:val="2"/>
          <w:szCs w:val="22"/>
        </w:rPr>
      </w:pPr>
      <w:r>
        <w:fldChar w:fldCharType="begin"/>
      </w:r>
      <w:r>
        <w:instrText xml:space="preserve"> HYPERLINK \l "_Toc192517515" </w:instrText>
      </w:r>
      <w:r>
        <w:fldChar w:fldCharType="separate"/>
      </w:r>
      <w:r>
        <w:rPr>
          <w:rStyle w:val="46"/>
          <w:rFonts w:eastAsia="黑体"/>
        </w:rPr>
        <w:t>8 校准结果表达</w:t>
      </w:r>
      <w:r>
        <w:tab/>
      </w:r>
      <w:r>
        <w:fldChar w:fldCharType="begin"/>
      </w:r>
      <w:r>
        <w:instrText xml:space="preserve"> PAGEREF _Toc192517515 \h </w:instrText>
      </w:r>
      <w:r>
        <w:fldChar w:fldCharType="separate"/>
      </w:r>
      <w:r>
        <w:t>7</w:t>
      </w:r>
      <w:r>
        <w:fldChar w:fldCharType="end"/>
      </w:r>
      <w:r>
        <w:fldChar w:fldCharType="end"/>
      </w:r>
    </w:p>
    <w:p w14:paraId="2D2F2D97">
      <w:pPr>
        <w:pStyle w:val="17"/>
        <w:tabs>
          <w:tab w:val="right" w:leader="dot" w:pos="8834"/>
        </w:tabs>
        <w:rPr>
          <w:rFonts w:asciiTheme="minorHAnsi" w:hAnsiTheme="minorHAnsi" w:eastAsiaTheme="minorEastAsia" w:cstheme="minorBidi"/>
          <w:kern w:val="2"/>
          <w:szCs w:val="22"/>
        </w:rPr>
      </w:pPr>
      <w:r>
        <w:fldChar w:fldCharType="begin"/>
      </w:r>
      <w:r>
        <w:instrText xml:space="preserve"> HYPERLINK \l "_Toc192517516" </w:instrText>
      </w:r>
      <w:r>
        <w:fldChar w:fldCharType="separate"/>
      </w:r>
      <w:r>
        <w:rPr>
          <w:rStyle w:val="46"/>
          <w:rFonts w:eastAsia="黑体"/>
        </w:rPr>
        <w:t>9 复校时间间隔</w:t>
      </w:r>
      <w:r>
        <w:tab/>
      </w:r>
      <w:r>
        <w:rPr>
          <w:rFonts w:hint="eastAsia"/>
        </w:rPr>
        <w:t>7</w:t>
      </w:r>
      <w:r>
        <w:rPr>
          <w:rFonts w:hint="eastAsia"/>
        </w:rPr>
        <w:fldChar w:fldCharType="end"/>
      </w:r>
    </w:p>
    <w:p w14:paraId="1B7E6FF1">
      <w:pPr>
        <w:pStyle w:val="17"/>
        <w:tabs>
          <w:tab w:val="right" w:leader="dot" w:pos="8834"/>
        </w:tabs>
        <w:rPr>
          <w:rFonts w:asciiTheme="minorHAnsi" w:hAnsiTheme="minorHAnsi" w:eastAsiaTheme="minorEastAsia" w:cstheme="minorBidi"/>
          <w:kern w:val="2"/>
          <w:szCs w:val="22"/>
        </w:rPr>
      </w:pPr>
      <w:r>
        <w:fldChar w:fldCharType="begin"/>
      </w:r>
      <w:r>
        <w:instrText xml:space="preserve"> HYPERLINK \l "_Toc192517518" </w:instrText>
      </w:r>
      <w:r>
        <w:fldChar w:fldCharType="separate"/>
      </w:r>
      <w:r>
        <w:rPr>
          <w:rStyle w:val="46"/>
          <w:rFonts w:eastAsia="黑体"/>
        </w:rPr>
        <w:t>附录</w:t>
      </w:r>
      <w:r>
        <w:rPr>
          <w:rStyle w:val="46"/>
          <w:rFonts w:hint="eastAsia" w:eastAsia="黑体"/>
        </w:rPr>
        <w:t>A</w:t>
      </w:r>
      <w:r>
        <w:rPr>
          <w:rStyle w:val="46"/>
          <w:rFonts w:eastAsia="黑体"/>
        </w:rPr>
        <w:t>炉温跟踪仪校准记录参考格式</w:t>
      </w:r>
      <w:r>
        <w:tab/>
      </w:r>
      <w:r>
        <w:rPr>
          <w:rFonts w:hint="eastAsia"/>
        </w:rPr>
        <w:t>8</w:t>
      </w:r>
      <w:r>
        <w:rPr>
          <w:rFonts w:hint="eastAsia"/>
        </w:rPr>
        <w:fldChar w:fldCharType="end"/>
      </w:r>
    </w:p>
    <w:p w14:paraId="7E9CBD72">
      <w:pPr>
        <w:pStyle w:val="17"/>
        <w:tabs>
          <w:tab w:val="right" w:leader="dot" w:pos="8834"/>
        </w:tabs>
        <w:rPr>
          <w:rFonts w:asciiTheme="minorHAnsi" w:hAnsiTheme="minorHAnsi" w:eastAsiaTheme="minorEastAsia" w:cstheme="minorBidi"/>
          <w:kern w:val="2"/>
          <w:szCs w:val="22"/>
        </w:rPr>
      </w:pPr>
      <w:r>
        <w:fldChar w:fldCharType="begin"/>
      </w:r>
      <w:r>
        <w:instrText xml:space="preserve"> HYPERLINK \l "_Toc192517519" </w:instrText>
      </w:r>
      <w:r>
        <w:fldChar w:fldCharType="separate"/>
      </w:r>
      <w:r>
        <w:rPr>
          <w:rStyle w:val="46"/>
          <w:rFonts w:eastAsia="黑体"/>
        </w:rPr>
        <w:t>附录</w:t>
      </w:r>
      <w:r>
        <w:rPr>
          <w:rStyle w:val="46"/>
          <w:rFonts w:hint="eastAsia" w:eastAsia="黑体"/>
        </w:rPr>
        <w:t>B</w:t>
      </w:r>
      <w:r>
        <w:rPr>
          <w:rStyle w:val="46"/>
          <w:rFonts w:eastAsia="黑体"/>
        </w:rPr>
        <w:t>炉温跟踪仪校准</w:t>
      </w:r>
      <w:r>
        <w:rPr>
          <w:rStyle w:val="46"/>
          <w:rFonts w:hint="eastAsia" w:eastAsia="黑体"/>
        </w:rPr>
        <w:t>证书</w:t>
      </w:r>
      <w:r>
        <w:rPr>
          <w:rStyle w:val="46"/>
          <w:rFonts w:eastAsia="黑体"/>
        </w:rPr>
        <w:t>参考格式</w:t>
      </w:r>
      <w:r>
        <w:tab/>
      </w:r>
      <w:r>
        <w:rPr>
          <w:rFonts w:hint="eastAsia"/>
        </w:rPr>
        <w:t>9</w:t>
      </w:r>
      <w:r>
        <w:rPr>
          <w:rFonts w:hint="eastAsia"/>
        </w:rPr>
        <w:fldChar w:fldCharType="end"/>
      </w:r>
    </w:p>
    <w:p w14:paraId="5E1CC4C2">
      <w:pPr>
        <w:pStyle w:val="17"/>
        <w:tabs>
          <w:tab w:val="right" w:leader="dot" w:pos="8834"/>
        </w:tabs>
        <w:rPr>
          <w:rFonts w:asciiTheme="minorHAnsi" w:hAnsiTheme="minorHAnsi" w:eastAsiaTheme="minorEastAsia" w:cstheme="minorBidi"/>
          <w:kern w:val="2"/>
          <w:szCs w:val="22"/>
        </w:rPr>
      </w:pPr>
      <w:r>
        <w:fldChar w:fldCharType="begin"/>
      </w:r>
      <w:r>
        <w:instrText xml:space="preserve"> HYPERLINK \l "_Toc192517521" </w:instrText>
      </w:r>
      <w:r>
        <w:fldChar w:fldCharType="separate"/>
      </w:r>
      <w:r>
        <w:rPr>
          <w:rStyle w:val="46"/>
          <w:rFonts w:eastAsia="黑体"/>
        </w:rPr>
        <w:t>附录</w:t>
      </w:r>
      <w:r>
        <w:rPr>
          <w:rStyle w:val="46"/>
          <w:rFonts w:hint="eastAsia" w:eastAsia="黑体"/>
        </w:rPr>
        <w:t>C</w:t>
      </w:r>
      <w:r>
        <w:rPr>
          <w:rStyle w:val="46"/>
          <w:rFonts w:eastAsia="黑体"/>
        </w:rPr>
        <w:t xml:space="preserve"> 炉温跟踪仪温度示值误差测量不确定度评定</w:t>
      </w:r>
      <w:r>
        <w:tab/>
      </w:r>
      <w:r>
        <w:fldChar w:fldCharType="begin"/>
      </w:r>
      <w:r>
        <w:instrText xml:space="preserve"> PAGEREF _Toc192517521 \h </w:instrText>
      </w:r>
      <w:r>
        <w:fldChar w:fldCharType="separate"/>
      </w:r>
      <w:r>
        <w:t>1</w:t>
      </w:r>
      <w:r>
        <w:fldChar w:fldCharType="end"/>
      </w:r>
      <w:r>
        <w:fldChar w:fldCharType="end"/>
      </w:r>
      <w:r>
        <w:rPr>
          <w:rFonts w:hint="eastAsia"/>
        </w:rPr>
        <w:t>0</w:t>
      </w:r>
    </w:p>
    <w:p w14:paraId="10B53A8B">
      <w:pPr>
        <w:pStyle w:val="17"/>
        <w:tabs>
          <w:tab w:val="right" w:leader="dot" w:pos="8834"/>
        </w:tabs>
        <w:rPr>
          <w:rFonts w:ascii="Times New Roman" w:eastAsiaTheme="minorEastAsia"/>
          <w:szCs w:val="22"/>
        </w:rPr>
      </w:pPr>
      <w:r>
        <w:rPr>
          <w:rFonts w:ascii="Times New Roman" w:eastAsiaTheme="minorEastAsia"/>
          <w:sz w:val="24"/>
          <w:szCs w:val="24"/>
        </w:rPr>
        <w:fldChar w:fldCharType="end"/>
      </w:r>
    </w:p>
    <w:p w14:paraId="1393A7D6">
      <w:pPr>
        <w:pStyle w:val="23"/>
        <w:rPr>
          <w:rFonts w:hint="default" w:ascii="Times New Roman" w:hAnsi="Times New Roman" w:eastAsia="黑体"/>
          <w:sz w:val="44"/>
          <w:szCs w:val="44"/>
        </w:rPr>
      </w:pPr>
    </w:p>
    <w:p w14:paraId="229A7F35">
      <w:pPr>
        <w:widowControl/>
        <w:jc w:val="left"/>
        <w:rPr>
          <w:rFonts w:eastAsia="黑体"/>
          <w:sz w:val="44"/>
          <w:szCs w:val="44"/>
        </w:rPr>
      </w:pPr>
    </w:p>
    <w:p w14:paraId="0AB318EA">
      <w:pPr>
        <w:widowControl/>
        <w:jc w:val="left"/>
        <w:rPr>
          <w:rFonts w:eastAsia="黑体"/>
          <w:sz w:val="44"/>
          <w:szCs w:val="44"/>
        </w:rPr>
      </w:pPr>
    </w:p>
    <w:p w14:paraId="1B6001C8">
      <w:pPr>
        <w:widowControl/>
        <w:jc w:val="left"/>
        <w:rPr>
          <w:rFonts w:eastAsia="黑体"/>
          <w:sz w:val="44"/>
          <w:szCs w:val="44"/>
        </w:rPr>
      </w:pPr>
    </w:p>
    <w:p w14:paraId="6CBC9495">
      <w:pPr>
        <w:widowControl/>
        <w:jc w:val="left"/>
        <w:rPr>
          <w:rFonts w:eastAsia="黑体"/>
          <w:sz w:val="44"/>
          <w:szCs w:val="44"/>
        </w:rPr>
      </w:pPr>
    </w:p>
    <w:p w14:paraId="387980B2">
      <w:pPr>
        <w:widowControl/>
        <w:jc w:val="left"/>
        <w:rPr>
          <w:rFonts w:eastAsia="黑体"/>
          <w:sz w:val="44"/>
          <w:szCs w:val="44"/>
        </w:rPr>
      </w:pPr>
    </w:p>
    <w:p w14:paraId="1C0ECC27">
      <w:pPr>
        <w:pStyle w:val="23"/>
        <w:rPr>
          <w:rFonts w:hint="default" w:ascii="Times New Roman" w:hAnsi="Times New Roman" w:eastAsia="黑体"/>
          <w:sz w:val="44"/>
          <w:szCs w:val="44"/>
        </w:rPr>
      </w:pPr>
    </w:p>
    <w:p w14:paraId="7EBABAF9">
      <w:pPr>
        <w:pStyle w:val="2"/>
        <w:jc w:val="center"/>
        <w:rPr>
          <w:rFonts w:eastAsia="黑体"/>
          <w:b w:val="0"/>
        </w:rPr>
      </w:pPr>
      <w:bookmarkStart w:id="0" w:name="_Toc192517499"/>
      <w:r>
        <w:rPr>
          <w:rFonts w:eastAsia="黑体"/>
          <w:b w:val="0"/>
        </w:rPr>
        <w:t>引言</w:t>
      </w:r>
      <w:bookmarkEnd w:id="0"/>
    </w:p>
    <w:p w14:paraId="5CA3D53F">
      <w:pPr>
        <w:pStyle w:val="23"/>
        <w:spacing w:line="420" w:lineRule="exact"/>
        <w:ind w:firstLine="480" w:firstLineChars="200"/>
        <w:jc w:val="left"/>
        <w:rPr>
          <w:rFonts w:hint="default" w:ascii="Times New Roman" w:hAnsi="Times New Roman"/>
          <w:sz w:val="24"/>
          <w:szCs w:val="24"/>
        </w:rPr>
      </w:pPr>
      <w:r>
        <w:rPr>
          <w:rFonts w:hint="default" w:ascii="Times New Roman" w:hAnsi="Times New Roman"/>
          <w:sz w:val="24"/>
          <w:szCs w:val="24"/>
        </w:rPr>
        <w:t>本规范依据JJF 1071《国家计量校准规范编写规则》编写，相关术语及测量不确定度评定遵循JJF 1001《通用计量术语及定义》和JJF 1059.1《测量不确定度评定与表示》两个文件。</w:t>
      </w:r>
    </w:p>
    <w:p w14:paraId="1438B638">
      <w:pPr>
        <w:pStyle w:val="23"/>
        <w:spacing w:line="420" w:lineRule="exact"/>
        <w:ind w:firstLine="480" w:firstLineChars="200"/>
        <w:jc w:val="left"/>
        <w:rPr>
          <w:rFonts w:hint="default" w:ascii="Times New Roman" w:hAnsi="Times New Roman"/>
          <w:sz w:val="24"/>
          <w:szCs w:val="24"/>
        </w:rPr>
        <w:sectPr>
          <w:pgSz w:w="11906" w:h="16838"/>
          <w:pgMar w:top="1418" w:right="1531" w:bottom="1418" w:left="1531" w:header="851" w:footer="992" w:gutter="0"/>
          <w:pgNumType w:fmt="upperRoman" w:start="1"/>
          <w:cols w:space="425" w:num="1"/>
          <w:docGrid w:type="lines" w:linePitch="312" w:charSpace="0"/>
        </w:sectPr>
      </w:pPr>
      <w:r>
        <w:rPr>
          <w:rFonts w:hint="default" w:ascii="Times New Roman" w:hAnsi="Times New Roman"/>
          <w:sz w:val="24"/>
          <w:szCs w:val="24"/>
        </w:rPr>
        <w:t>本规范为首次发布。</w:t>
      </w:r>
    </w:p>
    <w:p w14:paraId="5EB33E23">
      <w:pPr>
        <w:widowControl/>
        <w:jc w:val="left"/>
        <w:rPr>
          <w:rFonts w:eastAsia="黑体"/>
          <w:sz w:val="32"/>
          <w:szCs w:val="32"/>
        </w:rPr>
      </w:pPr>
      <w:r>
        <w:rPr>
          <w:rFonts w:eastAsia="黑体"/>
          <w:sz w:val="32"/>
          <w:szCs w:val="32"/>
        </w:rPr>
        <w:br w:type="page"/>
      </w:r>
    </w:p>
    <w:p w14:paraId="1D639C9C">
      <w:pPr>
        <w:pStyle w:val="23"/>
        <w:spacing w:line="440" w:lineRule="exact"/>
        <w:ind w:firstLine="320" w:firstLineChars="100"/>
        <w:jc w:val="center"/>
        <w:rPr>
          <w:rFonts w:hint="default" w:ascii="Times New Roman" w:hAnsi="Times New Roman" w:eastAsia="黑体"/>
          <w:sz w:val="32"/>
          <w:szCs w:val="32"/>
        </w:rPr>
      </w:pPr>
      <w:r>
        <w:rPr>
          <w:rFonts w:hint="default" w:ascii="Times New Roman" w:hAnsi="Times New Roman" w:eastAsia="黑体"/>
          <w:sz w:val="32"/>
          <w:szCs w:val="32"/>
        </w:rPr>
        <w:t>炉温跟踪仪校准规范</w:t>
      </w:r>
    </w:p>
    <w:p w14:paraId="117BC2A0">
      <w:pPr>
        <w:pStyle w:val="2"/>
        <w:spacing w:before="100" w:after="100"/>
        <w:rPr>
          <w:rFonts w:eastAsia="黑体"/>
          <w:b w:val="0"/>
          <w:sz w:val="24"/>
          <w:szCs w:val="24"/>
        </w:rPr>
      </w:pPr>
      <w:bookmarkStart w:id="1" w:name="_Toc192517500"/>
      <w:r>
        <w:rPr>
          <w:rFonts w:eastAsia="黑体"/>
          <w:b w:val="0"/>
          <w:sz w:val="24"/>
          <w:szCs w:val="24"/>
        </w:rPr>
        <w:t>1范围</w:t>
      </w:r>
      <w:bookmarkEnd w:id="1"/>
    </w:p>
    <w:p w14:paraId="53E61F35">
      <w:pPr>
        <w:spacing w:line="420" w:lineRule="exact"/>
        <w:ind w:firstLine="480" w:firstLineChars="200"/>
        <w:rPr>
          <w:sz w:val="24"/>
        </w:rPr>
      </w:pPr>
      <w:r>
        <w:rPr>
          <w:sz w:val="24"/>
        </w:rPr>
        <w:t>本规范适用于测量范围为（-40</w:t>
      </w:r>
      <w:bookmarkStart w:id="2" w:name="OLE_LINK2"/>
      <w:r>
        <w:rPr>
          <w:sz w:val="24"/>
        </w:rPr>
        <w:t>～</w:t>
      </w:r>
      <w:bookmarkEnd w:id="2"/>
      <w:r>
        <w:rPr>
          <w:sz w:val="24"/>
        </w:rPr>
        <w:t>1</w:t>
      </w:r>
      <w:r>
        <w:rPr>
          <w:rFonts w:hint="eastAsia"/>
          <w:sz w:val="24"/>
        </w:rPr>
        <w:t>20</w:t>
      </w:r>
      <w:r>
        <w:rPr>
          <w:sz w:val="24"/>
        </w:rPr>
        <w:t>0）℃的炉温跟踪仪的校准。</w:t>
      </w:r>
    </w:p>
    <w:p w14:paraId="3E481F1A">
      <w:pPr>
        <w:pStyle w:val="2"/>
        <w:spacing w:before="100" w:after="100"/>
        <w:rPr>
          <w:b w:val="0"/>
          <w:sz w:val="24"/>
          <w:szCs w:val="24"/>
        </w:rPr>
      </w:pPr>
      <w:bookmarkStart w:id="3" w:name="_Toc192517501"/>
      <w:r>
        <w:rPr>
          <w:rFonts w:eastAsia="黑体"/>
          <w:b w:val="0"/>
          <w:sz w:val="24"/>
          <w:szCs w:val="24"/>
        </w:rPr>
        <w:t>2引用文件</w:t>
      </w:r>
      <w:bookmarkEnd w:id="3"/>
    </w:p>
    <w:p w14:paraId="6FDE0308">
      <w:pPr>
        <w:pStyle w:val="23"/>
        <w:spacing w:line="420" w:lineRule="exact"/>
        <w:ind w:firstLine="480" w:firstLineChars="200"/>
        <w:rPr>
          <w:rFonts w:hint="default" w:ascii="Times New Roman" w:hAnsi="Times New Roman"/>
          <w:sz w:val="24"/>
          <w:szCs w:val="24"/>
        </w:rPr>
      </w:pPr>
      <w:r>
        <w:rPr>
          <w:rFonts w:hint="default" w:ascii="Times New Roman" w:hAnsi="Times New Roman"/>
          <w:sz w:val="24"/>
          <w:szCs w:val="24"/>
        </w:rPr>
        <w:t>本规范引用了下列文件：</w:t>
      </w:r>
    </w:p>
    <w:p w14:paraId="247E7243">
      <w:pPr>
        <w:pStyle w:val="23"/>
        <w:spacing w:line="420" w:lineRule="exact"/>
        <w:ind w:firstLine="480" w:firstLineChars="200"/>
        <w:rPr>
          <w:rFonts w:hint="default" w:ascii="Times New Roman" w:hAnsi="Times New Roman"/>
          <w:sz w:val="24"/>
          <w:szCs w:val="24"/>
        </w:rPr>
      </w:pPr>
      <w:r>
        <w:rPr>
          <w:rFonts w:ascii="Times New Roman" w:hAnsi="Times New Roman"/>
          <w:sz w:val="24"/>
          <w:szCs w:val="24"/>
        </w:rPr>
        <w:t>JJG 229-2010《工业铂、铜热电阻检定规程》</w:t>
      </w:r>
    </w:p>
    <w:p w14:paraId="44C231D4">
      <w:pPr>
        <w:pStyle w:val="23"/>
        <w:spacing w:line="420" w:lineRule="exact"/>
        <w:ind w:firstLine="480" w:firstLineChars="200"/>
        <w:rPr>
          <w:rFonts w:hint="default" w:ascii="Times New Roman" w:hAnsi="Times New Roman"/>
          <w:sz w:val="24"/>
          <w:szCs w:val="24"/>
        </w:rPr>
      </w:pPr>
      <w:r>
        <w:rPr>
          <w:rFonts w:ascii="Times New Roman" w:hAnsi="Times New Roman"/>
          <w:sz w:val="24"/>
          <w:szCs w:val="24"/>
        </w:rPr>
        <w:t>JJF 1171-2024 《温湿度巡回检测仪校准规范》</w:t>
      </w:r>
    </w:p>
    <w:p w14:paraId="7FD7DDFF">
      <w:pPr>
        <w:pStyle w:val="23"/>
        <w:spacing w:line="420" w:lineRule="exact"/>
        <w:ind w:firstLine="480" w:firstLineChars="200"/>
        <w:rPr>
          <w:rFonts w:hint="default" w:ascii="Times New Roman" w:hAnsi="Times New Roman"/>
          <w:sz w:val="24"/>
          <w:szCs w:val="24"/>
        </w:rPr>
      </w:pPr>
      <w:r>
        <w:rPr>
          <w:rFonts w:ascii="Times New Roman" w:hAnsi="Times New Roman"/>
          <w:sz w:val="24"/>
          <w:szCs w:val="24"/>
        </w:rPr>
        <w:t>JJF 1637-2017 《廉金属热电偶校准规范》</w:t>
      </w:r>
    </w:p>
    <w:p w14:paraId="5183625C">
      <w:pPr>
        <w:pStyle w:val="23"/>
        <w:spacing w:line="420" w:lineRule="exact"/>
        <w:ind w:firstLine="480" w:firstLineChars="200"/>
        <w:rPr>
          <w:rFonts w:hint="default" w:ascii="Times New Roman" w:hAnsi="Times New Roman"/>
          <w:sz w:val="24"/>
          <w:szCs w:val="24"/>
        </w:rPr>
      </w:pPr>
      <w:r>
        <w:rPr>
          <w:rFonts w:ascii="Times New Roman" w:hAnsi="Times New Roman"/>
          <w:sz w:val="24"/>
          <w:szCs w:val="24"/>
        </w:rPr>
        <w:t xml:space="preserve"> JJG 141-2013 《工作用贵金属热电偶》</w:t>
      </w:r>
    </w:p>
    <w:p w14:paraId="17BE1683">
      <w:pPr>
        <w:pStyle w:val="23"/>
        <w:spacing w:line="420" w:lineRule="exact"/>
        <w:ind w:firstLine="480" w:firstLineChars="200"/>
        <w:rPr>
          <w:rFonts w:hint="default" w:ascii="Times New Roman" w:hAnsi="Times New Roman"/>
          <w:sz w:val="24"/>
          <w:szCs w:val="24"/>
        </w:rPr>
      </w:pPr>
      <w:r>
        <w:rPr>
          <w:rFonts w:ascii="Times New Roman" w:hAnsi="Times New Roman"/>
          <w:sz w:val="24"/>
          <w:szCs w:val="24"/>
        </w:rPr>
        <w:t>JJF 1366—2012《温度数据采集仪校准规范》</w:t>
      </w:r>
    </w:p>
    <w:p w14:paraId="6156EE17">
      <w:pPr>
        <w:pStyle w:val="23"/>
        <w:spacing w:line="420" w:lineRule="exact"/>
        <w:ind w:firstLine="480" w:firstLineChars="200"/>
        <w:rPr>
          <w:rFonts w:hint="default" w:ascii="Times New Roman" w:hAnsi="Times New Roman"/>
          <w:sz w:val="24"/>
          <w:szCs w:val="24"/>
        </w:rPr>
      </w:pPr>
      <w:r>
        <w:rPr>
          <w:rFonts w:ascii="Times New Roman" w:hAnsi="Times New Roman"/>
          <w:sz w:val="24"/>
          <w:szCs w:val="24"/>
        </w:rPr>
        <w:t>GB/T 35585-2017《炉温跟踪仪》</w:t>
      </w:r>
    </w:p>
    <w:p w14:paraId="4F67F4FD">
      <w:pPr>
        <w:pStyle w:val="23"/>
        <w:spacing w:line="420" w:lineRule="exact"/>
        <w:ind w:firstLine="480" w:firstLineChars="200"/>
        <w:rPr>
          <w:rFonts w:hint="default" w:ascii="Times New Roman" w:hAnsi="Times New Roman"/>
          <w:sz w:val="24"/>
        </w:rPr>
      </w:pPr>
      <w:r>
        <w:rPr>
          <w:rFonts w:hint="default" w:ascii="Times New Roman" w:hAnsi="Times New Roman"/>
          <w:sz w:val="24"/>
          <w:szCs w:val="24"/>
        </w:rPr>
        <w:t>凡是注日期的引用文件</w:t>
      </w:r>
      <w:r>
        <w:rPr>
          <w:rFonts w:hint="default" w:ascii="Times New Roman" w:hAnsi="Times New Roman"/>
          <w:sz w:val="24"/>
        </w:rPr>
        <w:t>，仅注日期的版本适用于本规范；凡是不注日期的引用文件，其最新版本（包括所有的修改单）适用于本规范。</w:t>
      </w:r>
    </w:p>
    <w:p w14:paraId="622E62A7">
      <w:pPr>
        <w:pStyle w:val="2"/>
        <w:spacing w:before="100" w:after="100"/>
        <w:rPr>
          <w:rFonts w:eastAsia="黑体"/>
          <w:b w:val="0"/>
          <w:sz w:val="24"/>
          <w:szCs w:val="24"/>
        </w:rPr>
      </w:pPr>
      <w:bookmarkStart w:id="4" w:name="_Toc192517502"/>
      <w:r>
        <w:rPr>
          <w:rFonts w:eastAsia="黑体"/>
          <w:b w:val="0"/>
          <w:sz w:val="24"/>
          <w:szCs w:val="24"/>
        </w:rPr>
        <w:t>3 术语</w:t>
      </w:r>
      <w:bookmarkEnd w:id="4"/>
    </w:p>
    <w:p w14:paraId="1B164E0E">
      <w:pPr>
        <w:adjustRightInd w:val="0"/>
        <w:snapToGrid w:val="0"/>
        <w:spacing w:line="440" w:lineRule="exact"/>
        <w:jc w:val="left"/>
        <w:rPr>
          <w:spacing w:val="-4"/>
          <w:sz w:val="24"/>
        </w:rPr>
      </w:pPr>
      <w:r>
        <w:rPr>
          <w:rFonts w:hint="eastAsia"/>
          <w:spacing w:val="-4"/>
          <w:sz w:val="24"/>
        </w:rPr>
        <w:t>3.1炉温跟踪仪furnace temperature track logger</w:t>
      </w:r>
    </w:p>
    <w:p w14:paraId="0F038A13">
      <w:pPr>
        <w:adjustRightInd w:val="0"/>
        <w:snapToGrid w:val="0"/>
        <w:spacing w:line="440" w:lineRule="exact"/>
        <w:ind w:firstLine="480" w:firstLineChars="200"/>
        <w:jc w:val="left"/>
        <w:rPr>
          <w:sz w:val="24"/>
        </w:rPr>
      </w:pPr>
      <w:r>
        <w:rPr>
          <w:rFonts w:hint="eastAsia"/>
          <w:sz w:val="24"/>
        </w:rPr>
        <w:t>又名炉温测试仪，用于测量工业高温炉(窑)温度并具有数据存储、处理和导出功能的装置。</w:t>
      </w:r>
    </w:p>
    <w:p w14:paraId="1D4EF899">
      <w:pPr>
        <w:adjustRightInd w:val="0"/>
        <w:snapToGrid w:val="0"/>
        <w:spacing w:line="440" w:lineRule="exact"/>
        <w:jc w:val="left"/>
        <w:rPr>
          <w:spacing w:val="-4"/>
          <w:sz w:val="24"/>
        </w:rPr>
      </w:pPr>
      <w:r>
        <w:rPr>
          <w:spacing w:val="-4"/>
          <w:sz w:val="24"/>
        </w:rPr>
        <w:t>3.2</w:t>
      </w:r>
      <w:r>
        <w:rPr>
          <w:rFonts w:hint="eastAsia"/>
          <w:spacing w:val="-4"/>
          <w:sz w:val="24"/>
        </w:rPr>
        <w:t>记录间隔record interval</w:t>
      </w:r>
    </w:p>
    <w:p w14:paraId="79A3D77A">
      <w:pPr>
        <w:adjustRightInd w:val="0"/>
        <w:snapToGrid w:val="0"/>
        <w:spacing w:line="440" w:lineRule="exact"/>
        <w:ind w:firstLine="480" w:firstLineChars="200"/>
        <w:jc w:val="left"/>
        <w:rPr>
          <w:sz w:val="24"/>
        </w:rPr>
      </w:pPr>
      <w:r>
        <w:rPr>
          <w:rFonts w:hint="eastAsia"/>
          <w:sz w:val="24"/>
        </w:rPr>
        <w:t>记录仪存储相邻两组测得数据的时间间隔，</w:t>
      </w:r>
    </w:p>
    <w:p w14:paraId="77DDDC42">
      <w:pPr>
        <w:adjustRightInd w:val="0"/>
        <w:snapToGrid w:val="0"/>
        <w:spacing w:line="440" w:lineRule="exact"/>
        <w:jc w:val="left"/>
        <w:rPr>
          <w:spacing w:val="-4"/>
          <w:sz w:val="24"/>
        </w:rPr>
      </w:pPr>
      <w:r>
        <w:rPr>
          <w:rFonts w:hint="eastAsia"/>
          <w:spacing w:val="-4"/>
          <w:sz w:val="24"/>
        </w:rPr>
        <w:t>3.3发送间隔transmission interval</w:t>
      </w:r>
    </w:p>
    <w:p w14:paraId="1557C338">
      <w:pPr>
        <w:adjustRightInd w:val="0"/>
        <w:snapToGrid w:val="0"/>
        <w:spacing w:line="440" w:lineRule="exact"/>
        <w:ind w:firstLine="480" w:firstLineChars="200"/>
        <w:jc w:val="left"/>
        <w:rPr>
          <w:sz w:val="24"/>
        </w:rPr>
      </w:pPr>
      <w:r>
        <w:rPr>
          <w:rFonts w:hint="eastAsia"/>
          <w:sz w:val="24"/>
        </w:rPr>
        <w:t>无线通信记录仪向通信接收端定时发送采集到的相邻两组数据的时间间隔</w:t>
      </w:r>
    </w:p>
    <w:p w14:paraId="62E8FCE7">
      <w:pPr>
        <w:adjustRightInd w:val="0"/>
        <w:snapToGrid w:val="0"/>
        <w:spacing w:line="440" w:lineRule="exact"/>
        <w:jc w:val="left"/>
        <w:rPr>
          <w:spacing w:val="-4"/>
          <w:sz w:val="24"/>
        </w:rPr>
      </w:pPr>
      <w:r>
        <w:rPr>
          <w:rFonts w:hint="eastAsia"/>
          <w:spacing w:val="-4"/>
          <w:sz w:val="24"/>
        </w:rPr>
        <w:t>3.4无线通信wirelesscommunication</w:t>
      </w:r>
    </w:p>
    <w:p w14:paraId="759CFBD7">
      <w:pPr>
        <w:adjustRightInd w:val="0"/>
        <w:snapToGrid w:val="0"/>
        <w:spacing w:line="440" w:lineRule="exact"/>
        <w:ind w:firstLine="480" w:firstLineChars="200"/>
        <w:jc w:val="left"/>
        <w:rPr>
          <w:sz w:val="24"/>
        </w:rPr>
      </w:pPr>
      <w:r>
        <w:rPr>
          <w:rFonts w:hint="eastAsia"/>
          <w:sz w:val="24"/>
        </w:rPr>
        <w:t>记录仪将采集到的数据通过无线传输方式传输到上位机通信接收端,完成数据的交互功能。</w:t>
      </w:r>
    </w:p>
    <w:p w14:paraId="57B3A3D5">
      <w:pPr>
        <w:adjustRightInd w:val="0"/>
        <w:snapToGrid w:val="0"/>
        <w:spacing w:line="440" w:lineRule="exact"/>
        <w:jc w:val="left"/>
        <w:rPr>
          <w:spacing w:val="-4"/>
          <w:sz w:val="24"/>
        </w:rPr>
      </w:pPr>
      <w:r>
        <w:rPr>
          <w:spacing w:val="-4"/>
          <w:sz w:val="24"/>
        </w:rPr>
        <w:t>3.</w:t>
      </w:r>
      <w:r>
        <w:rPr>
          <w:rFonts w:hint="eastAsia"/>
          <w:spacing w:val="-4"/>
          <w:sz w:val="24"/>
        </w:rPr>
        <w:t>5</w:t>
      </w:r>
      <w:r>
        <w:rPr>
          <w:sz w:val="24"/>
        </w:rPr>
        <w:t>温度示值误差temperature</w:t>
      </w:r>
      <w:r>
        <w:rPr>
          <w:spacing w:val="-4"/>
          <w:sz w:val="24"/>
        </w:rPr>
        <w:t>indication</w:t>
      </w:r>
      <w:r>
        <w:rPr>
          <w:sz w:val="24"/>
        </w:rPr>
        <w:t>error</w:t>
      </w:r>
    </w:p>
    <w:p w14:paraId="41B787C4">
      <w:pPr>
        <w:adjustRightInd w:val="0"/>
        <w:snapToGrid w:val="0"/>
        <w:spacing w:line="440" w:lineRule="exact"/>
        <w:ind w:firstLine="480" w:firstLineChars="200"/>
        <w:jc w:val="left"/>
        <w:rPr>
          <w:spacing w:val="-4"/>
          <w:sz w:val="24"/>
        </w:rPr>
      </w:pPr>
      <w:r>
        <w:rPr>
          <w:sz w:val="24"/>
        </w:rPr>
        <w:t>炉温跟踪仪测温示值与标准温度的差值，单位为℃</w:t>
      </w:r>
      <w:r>
        <w:rPr>
          <w:spacing w:val="-4"/>
          <w:sz w:val="24"/>
        </w:rPr>
        <w:t>。</w:t>
      </w:r>
    </w:p>
    <w:p w14:paraId="3C73AE6A">
      <w:pPr>
        <w:adjustRightInd w:val="0"/>
        <w:snapToGrid w:val="0"/>
        <w:spacing w:line="440" w:lineRule="exact"/>
        <w:jc w:val="left"/>
        <w:rPr>
          <w:spacing w:val="-4"/>
          <w:sz w:val="24"/>
        </w:rPr>
      </w:pPr>
      <w:r>
        <w:rPr>
          <w:spacing w:val="-4"/>
          <w:sz w:val="24"/>
        </w:rPr>
        <w:t>3.</w:t>
      </w:r>
      <w:r>
        <w:rPr>
          <w:rFonts w:hint="eastAsia"/>
          <w:spacing w:val="-4"/>
          <w:sz w:val="24"/>
        </w:rPr>
        <w:t>6温度示值一致性</w:t>
      </w:r>
      <w:r>
        <w:rPr>
          <w:spacing w:val="-4"/>
          <w:sz w:val="24"/>
        </w:rPr>
        <w:t>temperatureindicationconsistency</w:t>
      </w:r>
    </w:p>
    <w:p w14:paraId="69BCD61D">
      <w:pPr>
        <w:adjustRightInd w:val="0"/>
        <w:snapToGrid w:val="0"/>
        <w:spacing w:line="440" w:lineRule="exact"/>
        <w:ind w:firstLine="480" w:firstLineChars="200"/>
        <w:jc w:val="left"/>
        <w:rPr>
          <w:spacing w:val="-4"/>
          <w:sz w:val="24"/>
        </w:rPr>
      </w:pPr>
      <w:r>
        <w:rPr>
          <w:sz w:val="24"/>
        </w:rPr>
        <w:t>相同温度下，炉温跟踪仪各通道的温度示值最大值与最小值的差值</w:t>
      </w:r>
      <w:r>
        <w:rPr>
          <w:spacing w:val="-4"/>
          <w:sz w:val="24"/>
        </w:rPr>
        <w:t>。</w:t>
      </w:r>
    </w:p>
    <w:p w14:paraId="2B3EAD19">
      <w:pPr>
        <w:pStyle w:val="2"/>
        <w:spacing w:before="105" w:after="105"/>
        <w:rPr>
          <w:rFonts w:eastAsia="黑体"/>
          <w:b w:val="0"/>
          <w:sz w:val="24"/>
          <w:szCs w:val="24"/>
        </w:rPr>
      </w:pPr>
      <w:bookmarkStart w:id="5" w:name="_Toc192517503"/>
      <w:r>
        <w:rPr>
          <w:rFonts w:eastAsia="黑体"/>
          <w:b w:val="0"/>
          <w:sz w:val="24"/>
          <w:szCs w:val="24"/>
        </w:rPr>
        <w:t>4 概述</w:t>
      </w:r>
      <w:bookmarkEnd w:id="5"/>
    </w:p>
    <w:p w14:paraId="1E83742C">
      <w:pPr>
        <w:snapToGrid w:val="0"/>
        <w:spacing w:line="440" w:lineRule="exact"/>
        <w:ind w:firstLine="464" w:firstLineChars="200"/>
        <w:jc w:val="left"/>
        <w:rPr>
          <w:spacing w:val="-4"/>
          <w:sz w:val="24"/>
        </w:rPr>
      </w:pPr>
      <w:r>
        <w:rPr>
          <w:spacing w:val="-4"/>
          <w:sz w:val="24"/>
        </w:rPr>
        <w:t>炉温跟踪仪是一种用于测量、监控和记录工业炉或高温设备内部温度的专用仪器。它广泛应用于冶金、化工、陶瓷、玻璃、热处理、光伏、电子等行业，用于监控炉温的准确性，保障工艺过程控制。炉温跟踪仪主要由测温传感器、信号采集处理模块、电源、通讯模块、</w:t>
      </w:r>
      <w:r>
        <w:rPr>
          <w:rFonts w:hint="eastAsia"/>
          <w:spacing w:val="-4"/>
          <w:sz w:val="24"/>
        </w:rPr>
        <w:t>数据</w:t>
      </w:r>
      <w:r>
        <w:rPr>
          <w:spacing w:val="-4"/>
          <w:sz w:val="24"/>
        </w:rPr>
        <w:t>存储模块、温度补偿模块、外壳和外部隔热盒等组成。</w:t>
      </w:r>
    </w:p>
    <w:p w14:paraId="340C7887">
      <w:pPr>
        <w:snapToGrid w:val="0"/>
        <w:spacing w:line="440" w:lineRule="exact"/>
        <w:ind w:firstLine="464" w:firstLineChars="200"/>
        <w:jc w:val="left"/>
        <w:rPr>
          <w:spacing w:val="-4"/>
          <w:sz w:val="24"/>
        </w:rPr>
      </w:pPr>
    </w:p>
    <w:p w14:paraId="5D78A3E4">
      <w:pPr>
        <w:snapToGrid w:val="0"/>
        <w:spacing w:line="440" w:lineRule="exact"/>
        <w:ind w:firstLine="464" w:firstLineChars="200"/>
        <w:jc w:val="left"/>
        <w:rPr>
          <w:spacing w:val="-4"/>
          <w:sz w:val="24"/>
        </w:rPr>
      </w:pPr>
    </w:p>
    <w:p w14:paraId="78343B4A">
      <w:pPr>
        <w:snapToGrid w:val="0"/>
        <w:spacing w:line="440" w:lineRule="exact"/>
        <w:ind w:firstLine="464" w:firstLineChars="200"/>
        <w:jc w:val="left"/>
        <w:rPr>
          <w:spacing w:val="-4"/>
          <w:sz w:val="24"/>
        </w:rPr>
      </w:pPr>
      <w:r>
        <w:rPr>
          <w:spacing w:val="-4"/>
          <w:sz w:val="24"/>
        </w:rPr>
        <w:drawing>
          <wp:anchor distT="0" distB="0" distL="114300" distR="114300" simplePos="0" relativeHeight="251666432" behindDoc="0" locked="0" layoutInCell="1" allowOverlap="1">
            <wp:simplePos x="0" y="0"/>
            <wp:positionH relativeFrom="column">
              <wp:posOffset>-13335</wp:posOffset>
            </wp:positionH>
            <wp:positionV relativeFrom="paragraph">
              <wp:posOffset>77470</wp:posOffset>
            </wp:positionV>
            <wp:extent cx="5615940" cy="3111500"/>
            <wp:effectExtent l="19050" t="0" r="3810" b="0"/>
            <wp:wrapNone/>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36"/>
                    <pic:cNvPicPr>
                      <a:picLocks noChangeAspect="1" noChangeArrowheads="1"/>
                    </pic:cNvPicPr>
                  </pic:nvPicPr>
                  <pic:blipFill>
                    <a:blip r:embed="rId10"/>
                    <a:srcRect/>
                    <a:stretch>
                      <a:fillRect/>
                    </a:stretch>
                  </pic:blipFill>
                  <pic:spPr>
                    <a:xfrm>
                      <a:off x="0" y="0"/>
                      <a:ext cx="5615940" cy="3111500"/>
                    </a:xfrm>
                    <a:prstGeom prst="rect">
                      <a:avLst/>
                    </a:prstGeom>
                    <a:noFill/>
                    <a:ln w="9525">
                      <a:noFill/>
                      <a:miter lim="800000"/>
                      <a:headEnd/>
                      <a:tailEnd/>
                    </a:ln>
                  </pic:spPr>
                </pic:pic>
              </a:graphicData>
            </a:graphic>
          </wp:anchor>
        </w:drawing>
      </w:r>
    </w:p>
    <w:p w14:paraId="06D38172">
      <w:pPr>
        <w:snapToGrid w:val="0"/>
        <w:spacing w:line="440" w:lineRule="exact"/>
        <w:ind w:firstLine="464" w:firstLineChars="200"/>
        <w:jc w:val="left"/>
        <w:rPr>
          <w:spacing w:val="-4"/>
          <w:sz w:val="24"/>
        </w:rPr>
      </w:pPr>
    </w:p>
    <w:p w14:paraId="7B1993C1">
      <w:pPr>
        <w:snapToGrid w:val="0"/>
        <w:spacing w:line="440" w:lineRule="exact"/>
        <w:ind w:firstLine="464" w:firstLineChars="200"/>
        <w:jc w:val="left"/>
        <w:rPr>
          <w:spacing w:val="-4"/>
          <w:sz w:val="24"/>
        </w:rPr>
      </w:pPr>
    </w:p>
    <w:p w14:paraId="1F464CCD">
      <w:pPr>
        <w:snapToGrid w:val="0"/>
        <w:spacing w:line="440" w:lineRule="exact"/>
        <w:ind w:firstLine="464" w:firstLineChars="200"/>
        <w:jc w:val="left"/>
        <w:rPr>
          <w:spacing w:val="-4"/>
          <w:sz w:val="24"/>
        </w:rPr>
      </w:pPr>
    </w:p>
    <w:p w14:paraId="66FD0759">
      <w:pPr>
        <w:snapToGrid w:val="0"/>
        <w:spacing w:line="440" w:lineRule="exact"/>
        <w:ind w:firstLine="464" w:firstLineChars="200"/>
        <w:jc w:val="left"/>
        <w:rPr>
          <w:spacing w:val="-4"/>
          <w:sz w:val="24"/>
        </w:rPr>
      </w:pPr>
    </w:p>
    <w:p w14:paraId="140FC7FD">
      <w:pPr>
        <w:snapToGrid w:val="0"/>
        <w:spacing w:line="440" w:lineRule="exact"/>
        <w:ind w:firstLine="464" w:firstLineChars="200"/>
        <w:jc w:val="left"/>
        <w:rPr>
          <w:spacing w:val="-4"/>
          <w:sz w:val="24"/>
        </w:rPr>
      </w:pPr>
    </w:p>
    <w:p w14:paraId="3C77E28B">
      <w:pPr>
        <w:snapToGrid w:val="0"/>
        <w:spacing w:line="440" w:lineRule="exact"/>
        <w:ind w:firstLine="464" w:firstLineChars="200"/>
        <w:jc w:val="left"/>
        <w:rPr>
          <w:spacing w:val="-4"/>
          <w:sz w:val="24"/>
        </w:rPr>
      </w:pPr>
    </w:p>
    <w:p w14:paraId="5E3AB9B9">
      <w:pPr>
        <w:spacing w:line="312" w:lineRule="auto"/>
        <w:ind w:left="480"/>
        <w:jc w:val="center"/>
        <w:rPr>
          <w:szCs w:val="21"/>
        </w:rPr>
      </w:pPr>
    </w:p>
    <w:p w14:paraId="0DF3D623">
      <w:pPr>
        <w:spacing w:line="312" w:lineRule="auto"/>
        <w:ind w:left="480"/>
        <w:jc w:val="center"/>
        <w:rPr>
          <w:szCs w:val="21"/>
        </w:rPr>
      </w:pPr>
    </w:p>
    <w:p w14:paraId="5E6AADB7">
      <w:pPr>
        <w:spacing w:line="312" w:lineRule="auto"/>
        <w:ind w:left="480"/>
        <w:jc w:val="center"/>
        <w:rPr>
          <w:szCs w:val="21"/>
        </w:rPr>
      </w:pPr>
    </w:p>
    <w:p w14:paraId="3D973DBE">
      <w:pPr>
        <w:spacing w:line="312" w:lineRule="auto"/>
        <w:ind w:left="480"/>
        <w:jc w:val="center"/>
        <w:rPr>
          <w:szCs w:val="21"/>
        </w:rPr>
      </w:pPr>
    </w:p>
    <w:p w14:paraId="6E2869F4">
      <w:pPr>
        <w:spacing w:line="312" w:lineRule="auto"/>
        <w:ind w:left="480"/>
        <w:jc w:val="center"/>
        <w:rPr>
          <w:szCs w:val="21"/>
        </w:rPr>
      </w:pPr>
    </w:p>
    <w:p w14:paraId="1F759DDE">
      <w:pPr>
        <w:spacing w:line="312" w:lineRule="auto"/>
        <w:ind w:left="480"/>
        <w:jc w:val="center"/>
        <w:rPr>
          <w:szCs w:val="21"/>
        </w:rPr>
      </w:pPr>
      <w:r>
        <w:rPr>
          <w:szCs w:val="21"/>
        </w:rPr>
        <w:t>图1 炉温跟踪仪基本结构示意图</w:t>
      </w:r>
    </w:p>
    <w:p w14:paraId="7E361A99">
      <w:pPr>
        <w:pStyle w:val="2"/>
        <w:spacing w:before="100" w:after="100"/>
        <w:rPr>
          <w:rFonts w:eastAsia="黑体"/>
          <w:b w:val="0"/>
          <w:sz w:val="24"/>
          <w:szCs w:val="24"/>
        </w:rPr>
      </w:pPr>
      <w:bookmarkStart w:id="6" w:name="_Toc192517504"/>
      <w:r>
        <w:rPr>
          <w:rFonts w:eastAsia="黑体"/>
          <w:b w:val="0"/>
          <w:sz w:val="24"/>
          <w:szCs w:val="24"/>
        </w:rPr>
        <w:t>5计量特性</w:t>
      </w:r>
      <w:bookmarkEnd w:id="6"/>
    </w:p>
    <w:p w14:paraId="589821F2">
      <w:pPr>
        <w:pStyle w:val="4"/>
        <w:spacing w:before="120" w:after="120" w:line="240" w:lineRule="auto"/>
        <w:rPr>
          <w:rFonts w:eastAsiaTheme="minorEastAsia"/>
          <w:b w:val="0"/>
          <w:sz w:val="24"/>
          <w:szCs w:val="24"/>
        </w:rPr>
      </w:pPr>
      <w:bookmarkStart w:id="7" w:name="_Toc192517505"/>
      <w:r>
        <w:rPr>
          <w:rFonts w:eastAsiaTheme="minorEastAsia"/>
          <w:b w:val="0"/>
          <w:sz w:val="24"/>
          <w:szCs w:val="24"/>
        </w:rPr>
        <w:t>5.1</w:t>
      </w:r>
      <w:r>
        <w:rPr>
          <w:rFonts w:hint="eastAsia" w:eastAsiaTheme="minorEastAsia"/>
          <w:b w:val="0"/>
          <w:sz w:val="24"/>
          <w:szCs w:val="24"/>
        </w:rPr>
        <w:t>温度</w:t>
      </w:r>
      <w:r>
        <w:rPr>
          <w:rFonts w:eastAsiaTheme="minorEastAsia"/>
          <w:b w:val="0"/>
          <w:sz w:val="24"/>
          <w:szCs w:val="24"/>
        </w:rPr>
        <w:t>示值误差</w:t>
      </w:r>
      <w:bookmarkEnd w:id="7"/>
    </w:p>
    <w:p w14:paraId="0162FCD3">
      <w:pPr>
        <w:snapToGrid w:val="0"/>
        <w:spacing w:line="440" w:lineRule="exact"/>
        <w:ind w:firstLine="464" w:firstLineChars="200"/>
        <w:jc w:val="left"/>
        <w:rPr>
          <w:sz w:val="24"/>
        </w:rPr>
      </w:pPr>
      <w:r>
        <w:rPr>
          <w:rFonts w:hint="eastAsia"/>
          <w:spacing w:val="-4"/>
          <w:sz w:val="24"/>
        </w:rPr>
        <w:t>记录仪</w:t>
      </w:r>
      <w:r>
        <w:rPr>
          <w:sz w:val="24"/>
        </w:rPr>
        <w:t>温度示值最大允许误差</w:t>
      </w:r>
      <w:r>
        <w:rPr>
          <w:rFonts w:hint="eastAsia"/>
          <w:sz w:val="24"/>
        </w:rPr>
        <w:t>见表1</w:t>
      </w:r>
    </w:p>
    <w:p w14:paraId="404DA22B">
      <w:pPr>
        <w:snapToGrid w:val="0"/>
        <w:spacing w:line="440" w:lineRule="exact"/>
        <w:ind w:firstLine="482" w:firstLineChars="200"/>
        <w:jc w:val="center"/>
        <w:rPr>
          <w:b/>
          <w:bCs/>
          <w:sz w:val="24"/>
        </w:rPr>
      </w:pPr>
      <w:r>
        <w:rPr>
          <w:rFonts w:hint="eastAsia"/>
          <w:b/>
          <w:bCs/>
          <w:sz w:val="24"/>
        </w:rPr>
        <w:t>表1 温度示值最大允许误差</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0"/>
        <w:gridCol w:w="4530"/>
      </w:tblGrid>
      <w:tr w14:paraId="52071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14:paraId="2DE60CA3">
            <w:pPr>
              <w:snapToGrid w:val="0"/>
              <w:spacing w:line="440" w:lineRule="exact"/>
              <w:jc w:val="left"/>
              <w:rPr>
                <w:spacing w:val="-4"/>
                <w:sz w:val="24"/>
              </w:rPr>
            </w:pPr>
            <w:r>
              <w:rPr>
                <w:rFonts w:hint="eastAsia"/>
                <w:spacing w:val="-4"/>
                <w:sz w:val="24"/>
              </w:rPr>
              <w:t>温度范围</w:t>
            </w:r>
          </w:p>
        </w:tc>
        <w:tc>
          <w:tcPr>
            <w:tcW w:w="4530" w:type="dxa"/>
          </w:tcPr>
          <w:p w14:paraId="6D7F91BE">
            <w:pPr>
              <w:snapToGrid w:val="0"/>
              <w:spacing w:line="440" w:lineRule="exact"/>
              <w:jc w:val="left"/>
              <w:rPr>
                <w:spacing w:val="-4"/>
                <w:sz w:val="24"/>
              </w:rPr>
            </w:pPr>
            <w:r>
              <w:rPr>
                <w:rFonts w:hint="eastAsia"/>
                <w:spacing w:val="-4"/>
                <w:sz w:val="24"/>
              </w:rPr>
              <w:t>最大允许误差</w:t>
            </w:r>
          </w:p>
        </w:tc>
      </w:tr>
      <w:tr w14:paraId="0C072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14:paraId="76555C32">
            <w:pPr>
              <w:snapToGrid w:val="0"/>
              <w:spacing w:line="440" w:lineRule="exact"/>
              <w:jc w:val="left"/>
              <w:rPr>
                <w:spacing w:val="-4"/>
                <w:sz w:val="24"/>
              </w:rPr>
            </w:pPr>
            <w:r>
              <w:rPr>
                <w:rFonts w:hint="eastAsia"/>
                <w:spacing w:val="-4"/>
                <w:sz w:val="24"/>
              </w:rPr>
              <w:t>（-40</w:t>
            </w:r>
            <w:r>
              <w:rPr>
                <w:sz w:val="24"/>
              </w:rPr>
              <w:t>～</w:t>
            </w:r>
            <w:r>
              <w:rPr>
                <w:rFonts w:hint="eastAsia"/>
                <w:spacing w:val="-4"/>
                <w:sz w:val="24"/>
              </w:rPr>
              <w:t>375）℃</w:t>
            </w:r>
          </w:p>
        </w:tc>
        <w:tc>
          <w:tcPr>
            <w:tcW w:w="4530" w:type="dxa"/>
          </w:tcPr>
          <w:p w14:paraId="43BEDBE8">
            <w:pPr>
              <w:snapToGrid w:val="0"/>
              <w:spacing w:line="440" w:lineRule="exact"/>
              <w:jc w:val="left"/>
              <w:rPr>
                <w:spacing w:val="-4"/>
                <w:sz w:val="24"/>
              </w:rPr>
            </w:pPr>
            <w:r>
              <w:rPr>
                <w:rFonts w:hint="eastAsia"/>
                <w:spacing w:val="-4"/>
                <w:sz w:val="24"/>
              </w:rPr>
              <w:t>±1.5℃</w:t>
            </w:r>
          </w:p>
        </w:tc>
      </w:tr>
      <w:tr w14:paraId="1193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14:paraId="08D3E187">
            <w:pPr>
              <w:snapToGrid w:val="0"/>
              <w:spacing w:line="440" w:lineRule="exact"/>
              <w:jc w:val="left"/>
              <w:rPr>
                <w:spacing w:val="-4"/>
                <w:sz w:val="24"/>
              </w:rPr>
            </w:pPr>
            <w:r>
              <w:rPr>
                <w:rFonts w:hint="eastAsia"/>
                <w:spacing w:val="-4"/>
                <w:sz w:val="24"/>
              </w:rPr>
              <w:t>（375</w:t>
            </w:r>
            <w:r>
              <w:rPr>
                <w:sz w:val="24"/>
              </w:rPr>
              <w:t>～</w:t>
            </w:r>
            <w:r>
              <w:rPr>
                <w:rFonts w:hint="eastAsia"/>
                <w:spacing w:val="-4"/>
                <w:sz w:val="24"/>
              </w:rPr>
              <w:t>1200）℃</w:t>
            </w:r>
          </w:p>
        </w:tc>
        <w:tc>
          <w:tcPr>
            <w:tcW w:w="4530" w:type="dxa"/>
          </w:tcPr>
          <w:p w14:paraId="437F9C15">
            <w:pPr>
              <w:snapToGrid w:val="0"/>
              <w:spacing w:line="440" w:lineRule="exact"/>
              <w:jc w:val="left"/>
              <w:rPr>
                <w:spacing w:val="-4"/>
                <w:sz w:val="24"/>
              </w:rPr>
            </w:pPr>
            <w:r>
              <w:rPr>
                <w:rFonts w:hint="eastAsia"/>
                <w:spacing w:val="-4"/>
                <w:sz w:val="24"/>
              </w:rPr>
              <w:t>±0.004</w:t>
            </w:r>
            <w:r>
              <w:rPr>
                <w:rFonts w:hint="eastAsia" w:ascii="宋体" w:hAnsi="宋体"/>
                <w:spacing w:val="-4"/>
                <w:sz w:val="24"/>
              </w:rPr>
              <w:t>·</w:t>
            </w:r>
            <w:r>
              <w:rPr>
                <w:rFonts w:hint="eastAsia"/>
                <w:i/>
                <w:iCs/>
                <w:spacing w:val="-4"/>
                <w:sz w:val="24"/>
              </w:rPr>
              <w:t>t</w:t>
            </w:r>
          </w:p>
        </w:tc>
      </w:tr>
      <w:tr w14:paraId="6F448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tcPr>
          <w:p w14:paraId="58E1F36D">
            <w:pPr>
              <w:snapToGrid w:val="0"/>
              <w:spacing w:line="440" w:lineRule="exact"/>
              <w:jc w:val="left"/>
              <w:rPr>
                <w:spacing w:val="-4"/>
                <w:sz w:val="24"/>
              </w:rPr>
            </w:pPr>
            <w:r>
              <w:rPr>
                <w:rFonts w:hint="eastAsia"/>
                <w:spacing w:val="-4"/>
                <w:sz w:val="24"/>
              </w:rPr>
              <w:t>注：</w:t>
            </w:r>
            <w:r>
              <w:rPr>
                <w:rFonts w:hint="eastAsia"/>
                <w:i/>
                <w:iCs/>
                <w:spacing w:val="-4"/>
                <w:sz w:val="24"/>
              </w:rPr>
              <w:t>t</w:t>
            </w:r>
            <w:r>
              <w:rPr>
                <w:rFonts w:hint="eastAsia"/>
                <w:spacing w:val="-4"/>
                <w:sz w:val="24"/>
              </w:rPr>
              <w:t>为温度值，单位为℃。</w:t>
            </w:r>
          </w:p>
        </w:tc>
      </w:tr>
    </w:tbl>
    <w:p w14:paraId="15370892">
      <w:pPr>
        <w:pStyle w:val="4"/>
        <w:spacing w:before="120" w:after="120" w:line="240" w:lineRule="auto"/>
        <w:rPr>
          <w:rFonts w:eastAsiaTheme="minorEastAsia"/>
          <w:b w:val="0"/>
          <w:sz w:val="24"/>
          <w:szCs w:val="24"/>
        </w:rPr>
      </w:pPr>
      <w:bookmarkStart w:id="8" w:name="_Toc192517507"/>
      <w:r>
        <w:rPr>
          <w:rFonts w:eastAsiaTheme="minorEastAsia"/>
          <w:b w:val="0"/>
          <w:sz w:val="24"/>
          <w:szCs w:val="24"/>
        </w:rPr>
        <w:t>5.</w:t>
      </w:r>
      <w:bookmarkEnd w:id="8"/>
      <w:r>
        <w:rPr>
          <w:rFonts w:hint="eastAsia" w:eastAsiaTheme="minorEastAsia"/>
          <w:b w:val="0"/>
          <w:sz w:val="24"/>
          <w:szCs w:val="24"/>
        </w:rPr>
        <w:t>2</w:t>
      </w:r>
      <w:r>
        <w:rPr>
          <w:rFonts w:eastAsiaTheme="minorEastAsia"/>
          <w:b w:val="0"/>
          <w:sz w:val="24"/>
          <w:szCs w:val="24"/>
        </w:rPr>
        <w:t xml:space="preserve"> </w:t>
      </w:r>
      <w:r>
        <w:rPr>
          <w:rFonts w:hint="eastAsia" w:eastAsiaTheme="minorEastAsia"/>
          <w:b w:val="0"/>
          <w:sz w:val="24"/>
          <w:szCs w:val="24"/>
        </w:rPr>
        <w:t>温度示值一致性</w:t>
      </w:r>
    </w:p>
    <w:p w14:paraId="7B509550">
      <w:pPr>
        <w:snapToGrid w:val="0"/>
        <w:spacing w:line="440" w:lineRule="exact"/>
        <w:ind w:firstLine="464" w:firstLineChars="200"/>
        <w:jc w:val="left"/>
        <w:rPr>
          <w:spacing w:val="-4"/>
          <w:sz w:val="24"/>
        </w:rPr>
      </w:pPr>
      <w:r>
        <w:rPr>
          <w:rFonts w:hint="eastAsia"/>
          <w:spacing w:val="-4"/>
          <w:sz w:val="24"/>
        </w:rPr>
        <w:t>温度示值一致性应不超过温度示值最大允许误差的绝对值。</w:t>
      </w:r>
    </w:p>
    <w:p w14:paraId="3A7606FA">
      <w:pPr>
        <w:snapToGrid w:val="0"/>
        <w:spacing w:line="440" w:lineRule="exact"/>
        <w:ind w:firstLine="404" w:firstLineChars="200"/>
        <w:jc w:val="left"/>
        <w:rPr>
          <w:spacing w:val="-4"/>
          <w:szCs w:val="21"/>
        </w:rPr>
      </w:pPr>
      <w:r>
        <w:rPr>
          <w:rFonts w:hint="eastAsia"/>
          <w:spacing w:val="-4"/>
          <w:szCs w:val="21"/>
        </w:rPr>
        <w:t>注：以上所有指标不适用于合格性判别，仅供参考。</w:t>
      </w:r>
    </w:p>
    <w:p w14:paraId="62191BC8">
      <w:pPr>
        <w:pStyle w:val="2"/>
        <w:spacing w:before="100" w:after="100"/>
        <w:rPr>
          <w:rFonts w:eastAsia="黑体"/>
          <w:b w:val="0"/>
          <w:sz w:val="24"/>
          <w:szCs w:val="24"/>
        </w:rPr>
      </w:pPr>
      <w:bookmarkStart w:id="9" w:name="_Toc192517508"/>
      <w:r>
        <w:rPr>
          <w:rFonts w:eastAsia="黑体"/>
          <w:b w:val="0"/>
          <w:sz w:val="24"/>
          <w:szCs w:val="24"/>
        </w:rPr>
        <w:t>6 校准条件</w:t>
      </w:r>
      <w:bookmarkEnd w:id="9"/>
    </w:p>
    <w:p w14:paraId="784BC084">
      <w:pPr>
        <w:pStyle w:val="4"/>
        <w:spacing w:before="120" w:after="120" w:line="240" w:lineRule="auto"/>
        <w:rPr>
          <w:rFonts w:eastAsiaTheme="minorEastAsia"/>
          <w:b w:val="0"/>
          <w:sz w:val="24"/>
          <w:szCs w:val="24"/>
        </w:rPr>
      </w:pPr>
      <w:bookmarkStart w:id="10" w:name="_Toc192517509"/>
      <w:r>
        <w:rPr>
          <w:rFonts w:eastAsiaTheme="minorEastAsia"/>
          <w:b w:val="0"/>
          <w:sz w:val="24"/>
          <w:szCs w:val="24"/>
        </w:rPr>
        <w:t>6.1 环境条件</w:t>
      </w:r>
      <w:bookmarkEnd w:id="10"/>
    </w:p>
    <w:p w14:paraId="0D257846">
      <w:pPr>
        <w:spacing w:line="360" w:lineRule="auto"/>
        <w:ind w:firstLine="480"/>
        <w:rPr>
          <w:sz w:val="24"/>
        </w:rPr>
      </w:pPr>
      <w:r>
        <w:rPr>
          <w:sz w:val="24"/>
        </w:rPr>
        <w:t>环境温度：（15～35）℃</w:t>
      </w:r>
    </w:p>
    <w:p w14:paraId="7183D3B1">
      <w:pPr>
        <w:spacing w:line="360" w:lineRule="auto"/>
        <w:ind w:firstLine="480"/>
        <w:rPr>
          <w:sz w:val="24"/>
        </w:rPr>
      </w:pPr>
      <w:r>
        <w:rPr>
          <w:sz w:val="24"/>
        </w:rPr>
        <w:t>相对湿度：不大于85%</w:t>
      </w:r>
    </w:p>
    <w:p w14:paraId="695D2B54">
      <w:pPr>
        <w:spacing w:line="360" w:lineRule="auto"/>
        <w:ind w:firstLine="480"/>
        <w:rPr>
          <w:sz w:val="24"/>
        </w:rPr>
      </w:pPr>
      <w:r>
        <w:rPr>
          <w:sz w:val="24"/>
        </w:rPr>
        <w:t>设备周围应无强烈振动及腐蚀性气体存在，应避免其他冷、热源以及较强空气对流等影响。环境条件还应满足被校仪器、所用标准仪器和其它配套设备正常使用的其它要求。</w:t>
      </w:r>
    </w:p>
    <w:p w14:paraId="36542370">
      <w:pPr>
        <w:pStyle w:val="4"/>
        <w:spacing w:before="120" w:after="120" w:line="240" w:lineRule="auto"/>
        <w:ind w:firstLine="120" w:firstLineChars="50"/>
        <w:rPr>
          <w:rFonts w:eastAsiaTheme="minorEastAsia"/>
          <w:b w:val="0"/>
          <w:sz w:val="24"/>
          <w:szCs w:val="24"/>
        </w:rPr>
      </w:pPr>
      <w:bookmarkStart w:id="11" w:name="_Toc192517510"/>
      <w:r>
        <w:rPr>
          <w:rFonts w:eastAsiaTheme="minorEastAsia"/>
          <w:b w:val="0"/>
          <w:sz w:val="24"/>
          <w:szCs w:val="24"/>
        </w:rPr>
        <w:t>6.2测量标准及其他设备</w:t>
      </w:r>
      <w:bookmarkEnd w:id="11"/>
    </w:p>
    <w:p w14:paraId="4A3E7C12">
      <w:pPr>
        <w:tabs>
          <w:tab w:val="left" w:pos="1770"/>
        </w:tabs>
        <w:spacing w:line="312" w:lineRule="auto"/>
        <w:ind w:firstLine="480" w:firstLineChars="200"/>
        <w:rPr>
          <w:sz w:val="24"/>
        </w:rPr>
      </w:pPr>
      <w:r>
        <w:rPr>
          <w:sz w:val="24"/>
        </w:rPr>
        <w:t>测量标准的技术指标见表2：</w:t>
      </w:r>
    </w:p>
    <w:p w14:paraId="55E69B31">
      <w:pPr>
        <w:jc w:val="center"/>
        <w:rPr>
          <w:rFonts w:eastAsia="等线"/>
          <w:spacing w:val="-14"/>
          <w:sz w:val="28"/>
          <w:lang w:val="zh-CN"/>
        </w:rPr>
      </w:pPr>
      <w:r>
        <w:rPr>
          <w:szCs w:val="21"/>
        </w:rPr>
        <w:t>表2 测</w:t>
      </w:r>
      <w:bookmarkStart w:id="12" w:name="_Toc192517511"/>
      <w:r>
        <w:rPr>
          <w:rFonts w:hint="eastAsia"/>
        </w:rPr>
        <w:t>测量标准及其他设备</w:t>
      </w:r>
    </w:p>
    <w:tbl>
      <w:tblPr>
        <w:tblStyle w:val="35"/>
        <w:tblW w:w="9060" w:type="dxa"/>
        <w:jc w:val="center"/>
        <w:tblLayout w:type="autofit"/>
        <w:tblCellMar>
          <w:top w:w="0" w:type="dxa"/>
          <w:left w:w="108" w:type="dxa"/>
          <w:bottom w:w="0" w:type="dxa"/>
          <w:right w:w="108" w:type="dxa"/>
        </w:tblCellMar>
      </w:tblPr>
      <w:tblGrid>
        <w:gridCol w:w="699"/>
        <w:gridCol w:w="813"/>
        <w:gridCol w:w="1035"/>
        <w:gridCol w:w="1517"/>
        <w:gridCol w:w="921"/>
        <w:gridCol w:w="1050"/>
        <w:gridCol w:w="1230"/>
        <w:gridCol w:w="1795"/>
      </w:tblGrid>
      <w:tr w14:paraId="52C64076">
        <w:trPr>
          <w:trHeight w:val="435" w:hRule="atLeast"/>
          <w:jc w:val="center"/>
        </w:trPr>
        <w:tc>
          <w:tcPr>
            <w:tcW w:w="702" w:type="dxa"/>
            <w:tcBorders>
              <w:top w:val="single" w:color="auto" w:sz="4" w:space="0"/>
              <w:left w:val="single" w:color="auto" w:sz="4" w:space="0"/>
              <w:bottom w:val="single" w:color="auto" w:sz="4" w:space="0"/>
              <w:right w:val="single" w:color="auto" w:sz="4" w:space="0"/>
            </w:tcBorders>
            <w:noWrap/>
            <w:vAlign w:val="center"/>
          </w:tcPr>
          <w:p w14:paraId="0ADC819E">
            <w:pPr>
              <w:widowControl/>
              <w:jc w:val="center"/>
              <w:rPr>
                <w:szCs w:val="21"/>
              </w:rPr>
            </w:pPr>
            <w:r>
              <w:rPr>
                <w:szCs w:val="21"/>
              </w:rPr>
              <w:t>序号</w:t>
            </w:r>
          </w:p>
        </w:tc>
        <w:tc>
          <w:tcPr>
            <w:tcW w:w="1858" w:type="dxa"/>
            <w:gridSpan w:val="2"/>
            <w:tcBorders>
              <w:top w:val="single" w:color="auto" w:sz="4" w:space="0"/>
              <w:left w:val="nil"/>
              <w:bottom w:val="single" w:color="auto" w:sz="4" w:space="0"/>
              <w:right w:val="single" w:color="auto" w:sz="4" w:space="0"/>
            </w:tcBorders>
            <w:noWrap/>
            <w:vAlign w:val="center"/>
          </w:tcPr>
          <w:p w14:paraId="48654392">
            <w:pPr>
              <w:widowControl/>
              <w:jc w:val="center"/>
              <w:rPr>
                <w:szCs w:val="21"/>
              </w:rPr>
            </w:pPr>
            <w:r>
              <w:rPr>
                <w:szCs w:val="21"/>
              </w:rPr>
              <w:t>设备名称</w:t>
            </w:r>
          </w:p>
        </w:tc>
        <w:tc>
          <w:tcPr>
            <w:tcW w:w="4694" w:type="dxa"/>
            <w:gridSpan w:val="4"/>
            <w:tcBorders>
              <w:top w:val="single" w:color="auto" w:sz="4" w:space="0"/>
              <w:left w:val="nil"/>
              <w:bottom w:val="single" w:color="auto" w:sz="4" w:space="0"/>
              <w:right w:val="single" w:color="auto" w:sz="4" w:space="0"/>
            </w:tcBorders>
            <w:noWrap/>
            <w:vAlign w:val="center"/>
          </w:tcPr>
          <w:p w14:paraId="6FDE0237">
            <w:pPr>
              <w:widowControl/>
              <w:jc w:val="center"/>
              <w:rPr>
                <w:szCs w:val="21"/>
              </w:rPr>
            </w:pPr>
            <w:r>
              <w:rPr>
                <w:szCs w:val="21"/>
              </w:rPr>
              <w:t>技术要求</w:t>
            </w:r>
          </w:p>
        </w:tc>
        <w:tc>
          <w:tcPr>
            <w:tcW w:w="1806" w:type="dxa"/>
            <w:tcBorders>
              <w:top w:val="single" w:color="auto" w:sz="4" w:space="0"/>
              <w:left w:val="nil"/>
              <w:bottom w:val="single" w:color="auto" w:sz="4" w:space="0"/>
              <w:right w:val="single" w:color="auto" w:sz="4" w:space="0"/>
            </w:tcBorders>
            <w:noWrap/>
            <w:vAlign w:val="center"/>
          </w:tcPr>
          <w:p w14:paraId="3307F171">
            <w:pPr>
              <w:widowControl/>
              <w:jc w:val="center"/>
              <w:rPr>
                <w:szCs w:val="21"/>
              </w:rPr>
            </w:pPr>
            <w:r>
              <w:rPr>
                <w:szCs w:val="21"/>
              </w:rPr>
              <w:t>用途</w:t>
            </w:r>
          </w:p>
        </w:tc>
      </w:tr>
      <w:tr w14:paraId="73336519">
        <w:tblPrEx>
          <w:tblCellMar>
            <w:top w:w="0" w:type="dxa"/>
            <w:left w:w="108" w:type="dxa"/>
            <w:bottom w:w="0" w:type="dxa"/>
            <w:right w:w="108" w:type="dxa"/>
          </w:tblCellMar>
        </w:tblPrEx>
        <w:trPr>
          <w:trHeight w:val="645" w:hRule="atLeast"/>
          <w:jc w:val="center"/>
        </w:trPr>
        <w:tc>
          <w:tcPr>
            <w:tcW w:w="702" w:type="dxa"/>
            <w:tcBorders>
              <w:top w:val="nil"/>
              <w:left w:val="single" w:color="auto" w:sz="4" w:space="0"/>
              <w:bottom w:val="single" w:color="auto" w:sz="4" w:space="0"/>
              <w:right w:val="single" w:color="auto" w:sz="4" w:space="0"/>
            </w:tcBorders>
            <w:noWrap/>
            <w:vAlign w:val="center"/>
          </w:tcPr>
          <w:p w14:paraId="1AA3C27D">
            <w:pPr>
              <w:widowControl/>
              <w:jc w:val="center"/>
              <w:rPr>
                <w:szCs w:val="21"/>
              </w:rPr>
            </w:pPr>
            <w:r>
              <w:rPr>
                <w:szCs w:val="21"/>
              </w:rPr>
              <w:t>1</w:t>
            </w:r>
          </w:p>
        </w:tc>
        <w:tc>
          <w:tcPr>
            <w:tcW w:w="1858" w:type="dxa"/>
            <w:gridSpan w:val="2"/>
            <w:tcBorders>
              <w:top w:val="nil"/>
              <w:left w:val="nil"/>
              <w:bottom w:val="single" w:color="auto" w:sz="4" w:space="0"/>
              <w:right w:val="single" w:color="auto" w:sz="4" w:space="0"/>
            </w:tcBorders>
            <w:noWrap/>
            <w:vAlign w:val="center"/>
          </w:tcPr>
          <w:p w14:paraId="1769042A">
            <w:pPr>
              <w:widowControl/>
              <w:jc w:val="center"/>
              <w:rPr>
                <w:szCs w:val="21"/>
              </w:rPr>
            </w:pPr>
            <w:r>
              <w:rPr>
                <w:szCs w:val="21"/>
              </w:rPr>
              <w:t>标准铂电阻</w:t>
            </w:r>
          </w:p>
          <w:p w14:paraId="32D16F10">
            <w:pPr>
              <w:widowControl/>
              <w:jc w:val="center"/>
              <w:rPr>
                <w:szCs w:val="21"/>
              </w:rPr>
            </w:pPr>
            <w:r>
              <w:rPr>
                <w:szCs w:val="21"/>
              </w:rPr>
              <w:t>温度计</w:t>
            </w:r>
          </w:p>
        </w:tc>
        <w:tc>
          <w:tcPr>
            <w:tcW w:w="4694" w:type="dxa"/>
            <w:gridSpan w:val="4"/>
            <w:tcBorders>
              <w:top w:val="single" w:color="auto" w:sz="4" w:space="0"/>
              <w:left w:val="nil"/>
              <w:bottom w:val="single" w:color="auto" w:sz="4" w:space="0"/>
              <w:right w:val="single" w:color="auto" w:sz="4" w:space="0"/>
            </w:tcBorders>
            <w:noWrap/>
            <w:vAlign w:val="center"/>
          </w:tcPr>
          <w:p w14:paraId="08C629D8">
            <w:pPr>
              <w:widowControl/>
              <w:jc w:val="center"/>
              <w:rPr>
                <w:szCs w:val="21"/>
              </w:rPr>
            </w:pPr>
            <w:r>
              <w:rPr>
                <w:szCs w:val="21"/>
              </w:rPr>
              <w:t>二等</w:t>
            </w:r>
            <w:r>
              <w:rPr>
                <w:rFonts w:hint="eastAsia"/>
                <w:szCs w:val="21"/>
              </w:rPr>
              <w:t>或</w:t>
            </w:r>
            <w:r>
              <w:rPr>
                <w:szCs w:val="21"/>
              </w:rPr>
              <w:t>以上</w:t>
            </w:r>
          </w:p>
        </w:tc>
        <w:tc>
          <w:tcPr>
            <w:tcW w:w="1806" w:type="dxa"/>
            <w:vMerge w:val="restart"/>
            <w:tcBorders>
              <w:top w:val="nil"/>
              <w:left w:val="single" w:color="auto" w:sz="4" w:space="0"/>
              <w:bottom w:val="single" w:color="auto" w:sz="4" w:space="0"/>
              <w:right w:val="single" w:color="auto" w:sz="4" w:space="0"/>
            </w:tcBorders>
            <w:noWrap/>
            <w:vAlign w:val="center"/>
          </w:tcPr>
          <w:p w14:paraId="353FFF56">
            <w:pPr>
              <w:widowControl/>
              <w:jc w:val="center"/>
              <w:rPr>
                <w:szCs w:val="21"/>
              </w:rPr>
            </w:pPr>
            <w:r>
              <w:rPr>
                <w:szCs w:val="21"/>
              </w:rPr>
              <w:t>测量标准器</w:t>
            </w:r>
          </w:p>
        </w:tc>
      </w:tr>
      <w:tr w14:paraId="57D12761">
        <w:tblPrEx>
          <w:tblCellMar>
            <w:top w:w="0" w:type="dxa"/>
            <w:left w:w="108" w:type="dxa"/>
            <w:bottom w:w="0" w:type="dxa"/>
            <w:right w:w="108" w:type="dxa"/>
          </w:tblCellMar>
        </w:tblPrEx>
        <w:trPr>
          <w:trHeight w:val="705" w:hRule="atLeast"/>
          <w:jc w:val="center"/>
        </w:trPr>
        <w:tc>
          <w:tcPr>
            <w:tcW w:w="702" w:type="dxa"/>
            <w:tcBorders>
              <w:top w:val="nil"/>
              <w:left w:val="single" w:color="auto" w:sz="4" w:space="0"/>
              <w:bottom w:val="single" w:color="auto" w:sz="4" w:space="0"/>
              <w:right w:val="single" w:color="auto" w:sz="4" w:space="0"/>
            </w:tcBorders>
            <w:noWrap/>
            <w:vAlign w:val="center"/>
          </w:tcPr>
          <w:p w14:paraId="15BA6EA4">
            <w:pPr>
              <w:widowControl/>
              <w:jc w:val="center"/>
              <w:rPr>
                <w:szCs w:val="21"/>
              </w:rPr>
            </w:pPr>
            <w:r>
              <w:rPr>
                <w:szCs w:val="21"/>
              </w:rPr>
              <w:t>2</w:t>
            </w:r>
          </w:p>
        </w:tc>
        <w:tc>
          <w:tcPr>
            <w:tcW w:w="1858" w:type="dxa"/>
            <w:gridSpan w:val="2"/>
            <w:tcBorders>
              <w:top w:val="nil"/>
              <w:left w:val="nil"/>
              <w:bottom w:val="single" w:color="auto" w:sz="4" w:space="0"/>
              <w:right w:val="single" w:color="auto" w:sz="4" w:space="0"/>
            </w:tcBorders>
            <w:vAlign w:val="center"/>
          </w:tcPr>
          <w:p w14:paraId="2C33351D">
            <w:pPr>
              <w:widowControl/>
              <w:jc w:val="center"/>
              <w:rPr>
                <w:szCs w:val="21"/>
              </w:rPr>
            </w:pPr>
            <w:r>
              <w:rPr>
                <w:szCs w:val="21"/>
              </w:rPr>
              <w:t>标准铂铑10-铂热电偶</w:t>
            </w:r>
          </w:p>
        </w:tc>
        <w:tc>
          <w:tcPr>
            <w:tcW w:w="4694" w:type="dxa"/>
            <w:gridSpan w:val="4"/>
            <w:tcBorders>
              <w:top w:val="single" w:color="auto" w:sz="4" w:space="0"/>
              <w:left w:val="nil"/>
              <w:bottom w:val="single" w:color="auto" w:sz="4" w:space="0"/>
              <w:right w:val="single" w:color="auto" w:sz="4" w:space="0"/>
            </w:tcBorders>
            <w:noWrap/>
            <w:vAlign w:val="center"/>
          </w:tcPr>
          <w:p w14:paraId="43896177">
            <w:pPr>
              <w:widowControl/>
              <w:jc w:val="center"/>
              <w:rPr>
                <w:szCs w:val="21"/>
              </w:rPr>
            </w:pPr>
            <w:r>
              <w:rPr>
                <w:szCs w:val="21"/>
              </w:rPr>
              <w:t>二等</w:t>
            </w:r>
            <w:r>
              <w:rPr>
                <w:rFonts w:hint="eastAsia"/>
                <w:szCs w:val="21"/>
              </w:rPr>
              <w:t>或</w:t>
            </w:r>
            <w:r>
              <w:rPr>
                <w:szCs w:val="21"/>
              </w:rPr>
              <w:t>以上</w:t>
            </w:r>
          </w:p>
        </w:tc>
        <w:tc>
          <w:tcPr>
            <w:tcW w:w="1806" w:type="dxa"/>
            <w:vMerge w:val="continue"/>
            <w:tcBorders>
              <w:top w:val="nil"/>
              <w:left w:val="single" w:color="auto" w:sz="4" w:space="0"/>
              <w:bottom w:val="single" w:color="auto" w:sz="4" w:space="0"/>
              <w:right w:val="single" w:color="auto" w:sz="4" w:space="0"/>
            </w:tcBorders>
            <w:vAlign w:val="center"/>
          </w:tcPr>
          <w:p w14:paraId="086CFA76">
            <w:pPr>
              <w:widowControl/>
              <w:rPr>
                <w:szCs w:val="21"/>
              </w:rPr>
            </w:pPr>
          </w:p>
        </w:tc>
      </w:tr>
      <w:tr w14:paraId="4B31B388">
        <w:tblPrEx>
          <w:tblCellMar>
            <w:top w:w="0" w:type="dxa"/>
            <w:left w:w="108" w:type="dxa"/>
            <w:bottom w:w="0" w:type="dxa"/>
            <w:right w:w="108" w:type="dxa"/>
          </w:tblCellMar>
        </w:tblPrEx>
        <w:trPr>
          <w:trHeight w:val="771" w:hRule="atLeast"/>
          <w:jc w:val="center"/>
        </w:trPr>
        <w:tc>
          <w:tcPr>
            <w:tcW w:w="702" w:type="dxa"/>
            <w:vMerge w:val="restart"/>
            <w:tcBorders>
              <w:top w:val="nil"/>
              <w:left w:val="single" w:color="auto" w:sz="4" w:space="0"/>
              <w:right w:val="single" w:color="auto" w:sz="4" w:space="0"/>
            </w:tcBorders>
            <w:noWrap/>
            <w:vAlign w:val="center"/>
          </w:tcPr>
          <w:p w14:paraId="0DE09C04">
            <w:pPr>
              <w:widowControl/>
              <w:jc w:val="center"/>
              <w:rPr>
                <w:rFonts w:eastAsia="等线"/>
                <w:szCs w:val="21"/>
              </w:rPr>
            </w:pPr>
            <w:r>
              <w:rPr>
                <w:rFonts w:hint="eastAsia" w:eastAsia="等线"/>
                <w:szCs w:val="21"/>
              </w:rPr>
              <w:t>3</w:t>
            </w:r>
          </w:p>
        </w:tc>
        <w:tc>
          <w:tcPr>
            <w:tcW w:w="1858" w:type="dxa"/>
            <w:gridSpan w:val="2"/>
            <w:vMerge w:val="restart"/>
            <w:tcBorders>
              <w:top w:val="nil"/>
              <w:left w:val="single" w:color="auto" w:sz="4" w:space="0"/>
              <w:bottom w:val="single" w:color="auto" w:sz="4" w:space="0"/>
              <w:right w:val="single" w:color="auto" w:sz="4" w:space="0"/>
            </w:tcBorders>
            <w:noWrap/>
            <w:vAlign w:val="center"/>
          </w:tcPr>
          <w:p w14:paraId="7CCE0EE1">
            <w:pPr>
              <w:widowControl/>
              <w:jc w:val="center"/>
              <w:rPr>
                <w:szCs w:val="21"/>
              </w:rPr>
            </w:pPr>
            <w:r>
              <w:rPr>
                <w:szCs w:val="21"/>
              </w:rPr>
              <w:t>电测设备</w:t>
            </w:r>
          </w:p>
        </w:tc>
        <w:tc>
          <w:tcPr>
            <w:tcW w:w="4694" w:type="dxa"/>
            <w:gridSpan w:val="4"/>
            <w:tcBorders>
              <w:top w:val="single" w:color="auto" w:sz="4" w:space="0"/>
              <w:left w:val="nil"/>
              <w:bottom w:val="single" w:color="auto" w:sz="4" w:space="0"/>
              <w:right w:val="single" w:color="auto" w:sz="4" w:space="0"/>
            </w:tcBorders>
            <w:vAlign w:val="center"/>
          </w:tcPr>
          <w:p w14:paraId="081DCE3E">
            <w:pPr>
              <w:widowControl/>
              <w:rPr>
                <w:szCs w:val="21"/>
              </w:rPr>
            </w:pPr>
            <w:r>
              <w:rPr>
                <w:szCs w:val="21"/>
              </w:rPr>
              <w:t>电阻相对最大允许误差:±5×10</w:t>
            </w:r>
            <w:r>
              <w:rPr>
                <w:szCs w:val="21"/>
                <w:vertAlign w:val="superscript"/>
              </w:rPr>
              <w:t>-5</w:t>
            </w:r>
            <w:r>
              <w:rPr>
                <w:szCs w:val="21"/>
              </w:rPr>
              <w:t>,分辨力不低于0.1mΩ</w:t>
            </w:r>
          </w:p>
        </w:tc>
        <w:tc>
          <w:tcPr>
            <w:tcW w:w="1806" w:type="dxa"/>
            <w:tcBorders>
              <w:top w:val="single" w:color="auto" w:sz="4" w:space="0"/>
              <w:left w:val="nil"/>
              <w:bottom w:val="single" w:color="auto" w:sz="4" w:space="0"/>
              <w:right w:val="single" w:color="auto" w:sz="4" w:space="0"/>
            </w:tcBorders>
            <w:vAlign w:val="center"/>
          </w:tcPr>
          <w:p w14:paraId="7A7DE7C7">
            <w:pPr>
              <w:widowControl/>
              <w:jc w:val="center"/>
              <w:rPr>
                <w:szCs w:val="21"/>
              </w:rPr>
            </w:pPr>
            <w:r>
              <w:rPr>
                <w:szCs w:val="21"/>
              </w:rPr>
              <w:t>与标准铂电阻温度计配套使用</w:t>
            </w:r>
          </w:p>
        </w:tc>
      </w:tr>
      <w:tr w14:paraId="7D0493C2">
        <w:tblPrEx>
          <w:tblCellMar>
            <w:top w:w="0" w:type="dxa"/>
            <w:left w:w="108" w:type="dxa"/>
            <w:bottom w:w="0" w:type="dxa"/>
            <w:right w:w="108" w:type="dxa"/>
          </w:tblCellMar>
        </w:tblPrEx>
        <w:trPr>
          <w:trHeight w:val="600" w:hRule="atLeast"/>
          <w:jc w:val="center"/>
        </w:trPr>
        <w:tc>
          <w:tcPr>
            <w:tcW w:w="702" w:type="dxa"/>
            <w:vMerge w:val="continue"/>
            <w:tcBorders>
              <w:left w:val="single" w:color="auto" w:sz="4" w:space="0"/>
              <w:bottom w:val="single" w:color="auto" w:sz="4" w:space="0"/>
              <w:right w:val="single" w:color="auto" w:sz="4" w:space="0"/>
            </w:tcBorders>
            <w:noWrap/>
            <w:vAlign w:val="center"/>
          </w:tcPr>
          <w:p w14:paraId="4CC13429">
            <w:pPr>
              <w:widowControl/>
              <w:jc w:val="center"/>
              <w:rPr>
                <w:szCs w:val="21"/>
              </w:rPr>
            </w:pPr>
          </w:p>
        </w:tc>
        <w:tc>
          <w:tcPr>
            <w:tcW w:w="1858" w:type="dxa"/>
            <w:gridSpan w:val="2"/>
            <w:vMerge w:val="continue"/>
            <w:tcBorders>
              <w:top w:val="single" w:color="auto" w:sz="4" w:space="0"/>
              <w:left w:val="single" w:color="auto" w:sz="4" w:space="0"/>
              <w:bottom w:val="single" w:color="auto" w:sz="4" w:space="0"/>
              <w:right w:val="single" w:color="auto" w:sz="4" w:space="0"/>
            </w:tcBorders>
            <w:vAlign w:val="center"/>
          </w:tcPr>
          <w:p w14:paraId="2AFAD4E0">
            <w:pPr>
              <w:widowControl/>
              <w:rPr>
                <w:szCs w:val="21"/>
              </w:rPr>
            </w:pPr>
          </w:p>
        </w:tc>
        <w:tc>
          <w:tcPr>
            <w:tcW w:w="4694" w:type="dxa"/>
            <w:gridSpan w:val="4"/>
            <w:tcBorders>
              <w:top w:val="single" w:color="auto" w:sz="4" w:space="0"/>
              <w:left w:val="nil"/>
              <w:bottom w:val="single" w:color="auto" w:sz="4" w:space="0"/>
              <w:right w:val="single" w:color="auto" w:sz="4" w:space="0"/>
            </w:tcBorders>
            <w:noWrap/>
            <w:vAlign w:val="center"/>
          </w:tcPr>
          <w:p w14:paraId="73C54FE4">
            <w:pPr>
              <w:widowControl/>
              <w:rPr>
                <w:szCs w:val="21"/>
              </w:rPr>
            </w:pPr>
            <w:r>
              <w:rPr>
                <w:szCs w:val="21"/>
              </w:rPr>
              <w:t>电压准确度等级0.01 级,分辨力不低于0.1μV</w:t>
            </w:r>
          </w:p>
        </w:tc>
        <w:tc>
          <w:tcPr>
            <w:tcW w:w="1806" w:type="dxa"/>
            <w:tcBorders>
              <w:top w:val="single" w:color="auto" w:sz="4" w:space="0"/>
              <w:left w:val="nil"/>
              <w:bottom w:val="single" w:color="auto" w:sz="4" w:space="0"/>
              <w:right w:val="single" w:color="auto" w:sz="4" w:space="0"/>
            </w:tcBorders>
            <w:vAlign w:val="center"/>
          </w:tcPr>
          <w:p w14:paraId="7396D8B5">
            <w:pPr>
              <w:widowControl/>
              <w:jc w:val="center"/>
              <w:rPr>
                <w:szCs w:val="21"/>
              </w:rPr>
            </w:pPr>
            <w:r>
              <w:rPr>
                <w:szCs w:val="21"/>
              </w:rPr>
              <w:t>与标准铂铑10-铂热电偶配套使用</w:t>
            </w:r>
          </w:p>
        </w:tc>
      </w:tr>
      <w:tr w14:paraId="06C9E423">
        <w:tblPrEx>
          <w:tblCellMar>
            <w:top w:w="0" w:type="dxa"/>
            <w:left w:w="108" w:type="dxa"/>
            <w:bottom w:w="0" w:type="dxa"/>
            <w:right w:w="108" w:type="dxa"/>
          </w:tblCellMar>
        </w:tblPrEx>
        <w:trPr>
          <w:trHeight w:val="436" w:hRule="atLeast"/>
          <w:jc w:val="center"/>
        </w:trPr>
        <w:tc>
          <w:tcPr>
            <w:tcW w:w="702" w:type="dxa"/>
            <w:vMerge w:val="restart"/>
            <w:tcBorders>
              <w:top w:val="single" w:color="auto" w:sz="4" w:space="0"/>
              <w:left w:val="single" w:color="auto" w:sz="4" w:space="0"/>
              <w:bottom w:val="single" w:color="auto" w:sz="4" w:space="0"/>
              <w:right w:val="single" w:color="auto" w:sz="4" w:space="0"/>
            </w:tcBorders>
            <w:noWrap/>
            <w:vAlign w:val="center"/>
          </w:tcPr>
          <w:p w14:paraId="33A56AFE">
            <w:pPr>
              <w:widowControl/>
              <w:jc w:val="center"/>
              <w:rPr>
                <w:rFonts w:eastAsia="等线"/>
                <w:szCs w:val="21"/>
              </w:rPr>
            </w:pPr>
            <w:r>
              <w:rPr>
                <w:rFonts w:hint="eastAsia" w:eastAsia="等线"/>
                <w:szCs w:val="21"/>
              </w:rPr>
              <w:t>4</w:t>
            </w:r>
          </w:p>
        </w:tc>
        <w:tc>
          <w:tcPr>
            <w:tcW w:w="817" w:type="dxa"/>
            <w:vMerge w:val="restart"/>
            <w:tcBorders>
              <w:top w:val="single" w:color="auto" w:sz="4" w:space="0"/>
              <w:left w:val="single" w:color="auto" w:sz="4" w:space="0"/>
              <w:bottom w:val="single" w:color="auto" w:sz="4" w:space="0"/>
              <w:right w:val="single" w:color="auto" w:sz="4" w:space="0"/>
            </w:tcBorders>
            <w:noWrap/>
            <w:vAlign w:val="center"/>
          </w:tcPr>
          <w:p w14:paraId="6C06734E">
            <w:pPr>
              <w:widowControl/>
              <w:jc w:val="center"/>
              <w:rPr>
                <w:szCs w:val="21"/>
              </w:rPr>
            </w:pPr>
            <w:r>
              <w:rPr>
                <w:szCs w:val="21"/>
              </w:rPr>
              <w:t>恒</w:t>
            </w:r>
          </w:p>
          <w:p w14:paraId="4E8259CB">
            <w:pPr>
              <w:widowControl/>
              <w:jc w:val="center"/>
              <w:rPr>
                <w:szCs w:val="21"/>
              </w:rPr>
            </w:pPr>
            <w:r>
              <w:rPr>
                <w:szCs w:val="21"/>
              </w:rPr>
              <w:t>温</w:t>
            </w:r>
          </w:p>
          <w:p w14:paraId="79BB8E4B">
            <w:pPr>
              <w:widowControl/>
              <w:jc w:val="center"/>
              <w:rPr>
                <w:szCs w:val="21"/>
              </w:rPr>
            </w:pPr>
            <w:r>
              <w:rPr>
                <w:szCs w:val="21"/>
              </w:rPr>
              <w:t>设</w:t>
            </w:r>
          </w:p>
          <w:p w14:paraId="2B4ED360">
            <w:pPr>
              <w:widowControl/>
              <w:jc w:val="center"/>
              <w:rPr>
                <w:szCs w:val="21"/>
              </w:rPr>
            </w:pPr>
            <w:r>
              <w:rPr>
                <w:szCs w:val="21"/>
              </w:rPr>
              <w:t>备</w:t>
            </w:r>
          </w:p>
        </w:tc>
        <w:tc>
          <w:tcPr>
            <w:tcW w:w="1041" w:type="dxa"/>
            <w:vMerge w:val="restart"/>
            <w:tcBorders>
              <w:top w:val="single" w:color="auto" w:sz="4" w:space="0"/>
              <w:left w:val="single" w:color="auto" w:sz="4" w:space="0"/>
              <w:right w:val="single" w:color="auto" w:sz="4" w:space="0"/>
            </w:tcBorders>
            <w:noWrap/>
            <w:vAlign w:val="center"/>
          </w:tcPr>
          <w:p w14:paraId="0A0FD4BB">
            <w:pPr>
              <w:widowControl/>
              <w:jc w:val="center"/>
              <w:rPr>
                <w:szCs w:val="21"/>
              </w:rPr>
            </w:pPr>
            <w:r>
              <w:rPr>
                <w:szCs w:val="21"/>
              </w:rPr>
              <w:t>恒温槽</w:t>
            </w:r>
          </w:p>
        </w:tc>
        <w:tc>
          <w:tcPr>
            <w:tcW w:w="1526" w:type="dxa"/>
            <w:vMerge w:val="restart"/>
            <w:tcBorders>
              <w:top w:val="single" w:color="auto" w:sz="4" w:space="0"/>
              <w:left w:val="single" w:color="auto" w:sz="4" w:space="0"/>
              <w:bottom w:val="single" w:color="auto" w:sz="4" w:space="0"/>
              <w:right w:val="single" w:color="auto" w:sz="4" w:space="0"/>
            </w:tcBorders>
            <w:vAlign w:val="center"/>
          </w:tcPr>
          <w:p w14:paraId="1C60CF05">
            <w:pPr>
              <w:widowControl/>
              <w:jc w:val="center"/>
              <w:rPr>
                <w:szCs w:val="21"/>
              </w:rPr>
            </w:pPr>
            <w:r>
              <w:rPr>
                <w:szCs w:val="21"/>
              </w:rPr>
              <w:t>温度范围/℃</w:t>
            </w:r>
          </w:p>
        </w:tc>
        <w:tc>
          <w:tcPr>
            <w:tcW w:w="1982" w:type="dxa"/>
            <w:gridSpan w:val="2"/>
            <w:tcBorders>
              <w:top w:val="single" w:color="auto" w:sz="4" w:space="0"/>
              <w:left w:val="nil"/>
              <w:bottom w:val="single" w:color="auto" w:sz="4" w:space="0"/>
              <w:right w:val="single" w:color="auto" w:sz="4" w:space="0"/>
            </w:tcBorders>
            <w:noWrap/>
            <w:vAlign w:val="center"/>
          </w:tcPr>
          <w:p w14:paraId="48F2B86D">
            <w:pPr>
              <w:widowControl/>
              <w:jc w:val="center"/>
              <w:rPr>
                <w:szCs w:val="21"/>
              </w:rPr>
            </w:pPr>
            <w:r>
              <w:rPr>
                <w:szCs w:val="21"/>
              </w:rPr>
              <w:t>温度均匀度/℃</w:t>
            </w:r>
          </w:p>
        </w:tc>
        <w:tc>
          <w:tcPr>
            <w:tcW w:w="1186" w:type="dxa"/>
            <w:vMerge w:val="restart"/>
            <w:tcBorders>
              <w:top w:val="single" w:color="auto" w:sz="4" w:space="0"/>
              <w:left w:val="single" w:color="auto" w:sz="4" w:space="0"/>
              <w:bottom w:val="single" w:color="auto" w:sz="4" w:space="0"/>
              <w:right w:val="single" w:color="auto" w:sz="4" w:space="0"/>
            </w:tcBorders>
            <w:vAlign w:val="center"/>
          </w:tcPr>
          <w:p w14:paraId="2299FDA0">
            <w:pPr>
              <w:widowControl/>
              <w:jc w:val="center"/>
              <w:rPr>
                <w:szCs w:val="21"/>
              </w:rPr>
            </w:pPr>
            <w:r>
              <w:rPr>
                <w:szCs w:val="21"/>
              </w:rPr>
              <w:t>温度波动度℃/10min</w:t>
            </w:r>
          </w:p>
        </w:tc>
        <w:tc>
          <w:tcPr>
            <w:tcW w:w="1806" w:type="dxa"/>
            <w:vMerge w:val="restart"/>
            <w:tcBorders>
              <w:top w:val="single" w:color="auto" w:sz="4" w:space="0"/>
              <w:left w:val="single" w:color="auto" w:sz="4" w:space="0"/>
              <w:right w:val="single" w:color="auto" w:sz="4" w:space="0"/>
            </w:tcBorders>
            <w:vAlign w:val="center"/>
          </w:tcPr>
          <w:p w14:paraId="08A3964E">
            <w:pPr>
              <w:widowControl/>
              <w:jc w:val="center"/>
              <w:rPr>
                <w:szCs w:val="21"/>
              </w:rPr>
            </w:pPr>
            <w:r>
              <w:rPr>
                <w:szCs w:val="21"/>
              </w:rPr>
              <w:t>温度源。恒温槽工作区域应具有足够深度，能够满足测量标准的正常使用要求。</w:t>
            </w:r>
          </w:p>
        </w:tc>
      </w:tr>
      <w:tr w14:paraId="7E215C7E">
        <w:tblPrEx>
          <w:tblCellMar>
            <w:top w:w="0" w:type="dxa"/>
            <w:left w:w="108" w:type="dxa"/>
            <w:bottom w:w="0" w:type="dxa"/>
            <w:right w:w="108" w:type="dxa"/>
          </w:tblCellMar>
        </w:tblPrEx>
        <w:trPr>
          <w:trHeight w:val="981" w:hRule="atLeast"/>
          <w:jc w:val="center"/>
        </w:trPr>
        <w:tc>
          <w:tcPr>
            <w:tcW w:w="702" w:type="dxa"/>
            <w:vMerge w:val="continue"/>
            <w:tcBorders>
              <w:top w:val="single" w:color="auto" w:sz="4" w:space="0"/>
              <w:left w:val="single" w:color="auto" w:sz="4" w:space="0"/>
              <w:bottom w:val="single" w:color="auto" w:sz="4" w:space="0"/>
              <w:right w:val="single" w:color="auto" w:sz="4" w:space="0"/>
            </w:tcBorders>
            <w:vAlign w:val="center"/>
          </w:tcPr>
          <w:p w14:paraId="0A41D63B">
            <w:pPr>
              <w:widowControl/>
              <w:jc w:val="center"/>
              <w:rPr>
                <w:szCs w:val="21"/>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14:paraId="1AC43BCD">
            <w:pPr>
              <w:widowControl/>
              <w:rPr>
                <w:szCs w:val="21"/>
              </w:rPr>
            </w:pPr>
          </w:p>
        </w:tc>
        <w:tc>
          <w:tcPr>
            <w:tcW w:w="1041" w:type="dxa"/>
            <w:vMerge w:val="continue"/>
            <w:tcBorders>
              <w:left w:val="single" w:color="auto" w:sz="4" w:space="0"/>
              <w:right w:val="single" w:color="auto" w:sz="4" w:space="0"/>
            </w:tcBorders>
            <w:vAlign w:val="center"/>
          </w:tcPr>
          <w:p w14:paraId="7536DAF2">
            <w:pPr>
              <w:widowControl/>
              <w:rPr>
                <w:szCs w:val="21"/>
              </w:rPr>
            </w:pPr>
          </w:p>
        </w:tc>
        <w:tc>
          <w:tcPr>
            <w:tcW w:w="1526" w:type="dxa"/>
            <w:vMerge w:val="continue"/>
            <w:tcBorders>
              <w:top w:val="single" w:color="auto" w:sz="4" w:space="0"/>
              <w:left w:val="single" w:color="auto" w:sz="4" w:space="0"/>
              <w:bottom w:val="single" w:color="auto" w:sz="4" w:space="0"/>
              <w:right w:val="single" w:color="auto" w:sz="4" w:space="0"/>
            </w:tcBorders>
            <w:vAlign w:val="center"/>
          </w:tcPr>
          <w:p w14:paraId="547A6DF3">
            <w:pPr>
              <w:widowControl/>
              <w:rPr>
                <w:szCs w:val="21"/>
              </w:rPr>
            </w:pPr>
          </w:p>
        </w:tc>
        <w:tc>
          <w:tcPr>
            <w:tcW w:w="926" w:type="dxa"/>
            <w:tcBorders>
              <w:top w:val="nil"/>
              <w:left w:val="nil"/>
              <w:bottom w:val="single" w:color="auto" w:sz="4" w:space="0"/>
              <w:right w:val="single" w:color="auto" w:sz="4" w:space="0"/>
            </w:tcBorders>
            <w:vAlign w:val="center"/>
          </w:tcPr>
          <w:p w14:paraId="77D8DCD0">
            <w:pPr>
              <w:widowControl/>
              <w:jc w:val="center"/>
              <w:rPr>
                <w:szCs w:val="21"/>
              </w:rPr>
            </w:pPr>
            <w:r>
              <w:rPr>
                <w:szCs w:val="21"/>
              </w:rPr>
              <w:t>工作区域水平温差</w:t>
            </w:r>
          </w:p>
        </w:tc>
        <w:tc>
          <w:tcPr>
            <w:tcW w:w="1056" w:type="dxa"/>
            <w:tcBorders>
              <w:top w:val="nil"/>
              <w:left w:val="nil"/>
              <w:bottom w:val="single" w:color="auto" w:sz="4" w:space="0"/>
              <w:right w:val="single" w:color="auto" w:sz="4" w:space="0"/>
            </w:tcBorders>
            <w:vAlign w:val="center"/>
          </w:tcPr>
          <w:p w14:paraId="559C1A16">
            <w:pPr>
              <w:widowControl/>
              <w:jc w:val="center"/>
              <w:rPr>
                <w:szCs w:val="21"/>
              </w:rPr>
            </w:pPr>
            <w:r>
              <w:rPr>
                <w:szCs w:val="21"/>
              </w:rPr>
              <w:t>工作区域最大温差</w:t>
            </w:r>
          </w:p>
        </w:tc>
        <w:tc>
          <w:tcPr>
            <w:tcW w:w="1186" w:type="dxa"/>
            <w:vMerge w:val="continue"/>
            <w:tcBorders>
              <w:top w:val="single" w:color="auto" w:sz="4" w:space="0"/>
              <w:left w:val="single" w:color="auto" w:sz="4" w:space="0"/>
              <w:bottom w:val="single" w:color="auto" w:sz="4" w:space="0"/>
              <w:right w:val="single" w:color="auto" w:sz="4" w:space="0"/>
            </w:tcBorders>
            <w:vAlign w:val="center"/>
          </w:tcPr>
          <w:p w14:paraId="60A1A804">
            <w:pPr>
              <w:widowControl/>
              <w:rPr>
                <w:szCs w:val="21"/>
              </w:rPr>
            </w:pPr>
          </w:p>
        </w:tc>
        <w:tc>
          <w:tcPr>
            <w:tcW w:w="1806" w:type="dxa"/>
            <w:vMerge w:val="continue"/>
            <w:tcBorders>
              <w:left w:val="single" w:color="auto" w:sz="4" w:space="0"/>
              <w:right w:val="single" w:color="auto" w:sz="4" w:space="0"/>
            </w:tcBorders>
            <w:vAlign w:val="center"/>
          </w:tcPr>
          <w:p w14:paraId="34B77C1E">
            <w:pPr>
              <w:widowControl/>
              <w:jc w:val="center"/>
              <w:rPr>
                <w:szCs w:val="21"/>
              </w:rPr>
            </w:pPr>
          </w:p>
        </w:tc>
      </w:tr>
      <w:tr w14:paraId="3AE882C4">
        <w:tblPrEx>
          <w:tblCellMar>
            <w:top w:w="0" w:type="dxa"/>
            <w:left w:w="108" w:type="dxa"/>
            <w:bottom w:w="0" w:type="dxa"/>
            <w:right w:w="108" w:type="dxa"/>
          </w:tblCellMar>
        </w:tblPrEx>
        <w:trPr>
          <w:trHeight w:val="465" w:hRule="atLeast"/>
          <w:jc w:val="center"/>
        </w:trPr>
        <w:tc>
          <w:tcPr>
            <w:tcW w:w="702" w:type="dxa"/>
            <w:vMerge w:val="continue"/>
            <w:tcBorders>
              <w:top w:val="single" w:color="auto" w:sz="4" w:space="0"/>
              <w:left w:val="single" w:color="auto" w:sz="4" w:space="0"/>
              <w:bottom w:val="single" w:color="auto" w:sz="4" w:space="0"/>
              <w:right w:val="single" w:color="auto" w:sz="4" w:space="0"/>
            </w:tcBorders>
            <w:vAlign w:val="center"/>
          </w:tcPr>
          <w:p w14:paraId="60E6468E">
            <w:pPr>
              <w:widowControl/>
              <w:jc w:val="center"/>
              <w:rPr>
                <w:szCs w:val="21"/>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14:paraId="7D2DAE4B">
            <w:pPr>
              <w:widowControl/>
              <w:rPr>
                <w:szCs w:val="21"/>
              </w:rPr>
            </w:pPr>
          </w:p>
        </w:tc>
        <w:tc>
          <w:tcPr>
            <w:tcW w:w="1041" w:type="dxa"/>
            <w:vMerge w:val="continue"/>
            <w:tcBorders>
              <w:left w:val="single" w:color="auto" w:sz="4" w:space="0"/>
              <w:right w:val="single" w:color="auto" w:sz="4" w:space="0"/>
            </w:tcBorders>
            <w:vAlign w:val="center"/>
          </w:tcPr>
          <w:p w14:paraId="5C8464FC">
            <w:pPr>
              <w:widowControl/>
              <w:rPr>
                <w:szCs w:val="21"/>
              </w:rPr>
            </w:pPr>
          </w:p>
        </w:tc>
        <w:tc>
          <w:tcPr>
            <w:tcW w:w="1526" w:type="dxa"/>
            <w:tcBorders>
              <w:top w:val="nil"/>
              <w:left w:val="nil"/>
              <w:bottom w:val="single" w:color="auto" w:sz="4" w:space="0"/>
              <w:right w:val="single" w:color="auto" w:sz="4" w:space="0"/>
            </w:tcBorders>
            <w:noWrap/>
            <w:vAlign w:val="center"/>
          </w:tcPr>
          <w:p w14:paraId="5E230D8F">
            <w:pPr>
              <w:widowControl/>
              <w:jc w:val="center"/>
              <w:rPr>
                <w:szCs w:val="21"/>
              </w:rPr>
            </w:pPr>
            <w:r>
              <w:rPr>
                <w:rFonts w:hint="eastAsia" w:eastAsia="等线"/>
                <w:szCs w:val="21"/>
              </w:rPr>
              <w:t>（-4</w:t>
            </w:r>
            <w:r>
              <w:rPr>
                <w:szCs w:val="21"/>
              </w:rPr>
              <w:t>0~95</w:t>
            </w:r>
            <w:r>
              <w:rPr>
                <w:rFonts w:hint="eastAsia" w:ascii="等线" w:hAnsi="等线" w:eastAsia="等线"/>
                <w:szCs w:val="21"/>
              </w:rPr>
              <w:t>）</w:t>
            </w:r>
            <w:r>
              <w:rPr>
                <w:szCs w:val="21"/>
              </w:rPr>
              <w:t>℃</w:t>
            </w:r>
          </w:p>
        </w:tc>
        <w:tc>
          <w:tcPr>
            <w:tcW w:w="926" w:type="dxa"/>
            <w:tcBorders>
              <w:top w:val="nil"/>
              <w:left w:val="nil"/>
              <w:bottom w:val="single" w:color="auto" w:sz="4" w:space="0"/>
              <w:right w:val="single" w:color="auto" w:sz="4" w:space="0"/>
            </w:tcBorders>
            <w:noWrap/>
            <w:vAlign w:val="center"/>
          </w:tcPr>
          <w:p w14:paraId="01CC0404">
            <w:pPr>
              <w:widowControl/>
              <w:jc w:val="center"/>
              <w:rPr>
                <w:szCs w:val="21"/>
              </w:rPr>
            </w:pPr>
            <w:r>
              <w:rPr>
                <w:szCs w:val="21"/>
              </w:rPr>
              <w:t>0.01</w:t>
            </w:r>
          </w:p>
        </w:tc>
        <w:tc>
          <w:tcPr>
            <w:tcW w:w="1056" w:type="dxa"/>
            <w:tcBorders>
              <w:top w:val="nil"/>
              <w:left w:val="nil"/>
              <w:bottom w:val="single" w:color="auto" w:sz="4" w:space="0"/>
              <w:right w:val="single" w:color="auto" w:sz="4" w:space="0"/>
            </w:tcBorders>
            <w:noWrap/>
            <w:vAlign w:val="center"/>
          </w:tcPr>
          <w:p w14:paraId="0AC2B17F">
            <w:pPr>
              <w:widowControl/>
              <w:jc w:val="center"/>
              <w:rPr>
                <w:szCs w:val="21"/>
              </w:rPr>
            </w:pPr>
            <w:r>
              <w:rPr>
                <w:szCs w:val="21"/>
              </w:rPr>
              <w:t>0.01</w:t>
            </w:r>
          </w:p>
        </w:tc>
        <w:tc>
          <w:tcPr>
            <w:tcW w:w="1186" w:type="dxa"/>
            <w:tcBorders>
              <w:top w:val="nil"/>
              <w:left w:val="nil"/>
              <w:bottom w:val="single" w:color="auto" w:sz="4" w:space="0"/>
              <w:right w:val="single" w:color="auto" w:sz="4" w:space="0"/>
            </w:tcBorders>
            <w:noWrap/>
            <w:vAlign w:val="center"/>
          </w:tcPr>
          <w:p w14:paraId="6A2016C6">
            <w:pPr>
              <w:jc w:val="center"/>
              <w:rPr>
                <w:szCs w:val="21"/>
              </w:rPr>
            </w:pPr>
            <w:r>
              <w:rPr>
                <w:szCs w:val="21"/>
              </w:rPr>
              <w:t>0.02</w:t>
            </w:r>
          </w:p>
        </w:tc>
        <w:tc>
          <w:tcPr>
            <w:tcW w:w="1806" w:type="dxa"/>
            <w:vMerge w:val="continue"/>
            <w:tcBorders>
              <w:left w:val="single" w:color="auto" w:sz="4" w:space="0"/>
              <w:right w:val="single" w:color="auto" w:sz="4" w:space="0"/>
            </w:tcBorders>
            <w:vAlign w:val="center"/>
          </w:tcPr>
          <w:p w14:paraId="6C169F41">
            <w:pPr>
              <w:widowControl/>
              <w:jc w:val="center"/>
              <w:rPr>
                <w:szCs w:val="21"/>
              </w:rPr>
            </w:pPr>
          </w:p>
        </w:tc>
      </w:tr>
      <w:tr w14:paraId="698BFD08">
        <w:tblPrEx>
          <w:tblCellMar>
            <w:top w:w="0" w:type="dxa"/>
            <w:left w:w="108" w:type="dxa"/>
            <w:bottom w:w="0" w:type="dxa"/>
            <w:right w:w="108" w:type="dxa"/>
          </w:tblCellMar>
        </w:tblPrEx>
        <w:trPr>
          <w:trHeight w:val="465" w:hRule="atLeast"/>
          <w:jc w:val="center"/>
        </w:trPr>
        <w:tc>
          <w:tcPr>
            <w:tcW w:w="702" w:type="dxa"/>
            <w:vMerge w:val="continue"/>
            <w:tcBorders>
              <w:top w:val="single" w:color="auto" w:sz="4" w:space="0"/>
              <w:left w:val="single" w:color="auto" w:sz="4" w:space="0"/>
              <w:bottom w:val="single" w:color="auto" w:sz="4" w:space="0"/>
              <w:right w:val="single" w:color="auto" w:sz="4" w:space="0"/>
            </w:tcBorders>
            <w:vAlign w:val="center"/>
          </w:tcPr>
          <w:p w14:paraId="04ED6050">
            <w:pPr>
              <w:widowControl/>
              <w:jc w:val="center"/>
              <w:rPr>
                <w:szCs w:val="21"/>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14:paraId="21949F00">
            <w:pPr>
              <w:widowControl/>
              <w:rPr>
                <w:szCs w:val="21"/>
              </w:rPr>
            </w:pPr>
          </w:p>
        </w:tc>
        <w:tc>
          <w:tcPr>
            <w:tcW w:w="1041" w:type="dxa"/>
            <w:vMerge w:val="continue"/>
            <w:tcBorders>
              <w:left w:val="single" w:color="auto" w:sz="4" w:space="0"/>
              <w:right w:val="single" w:color="auto" w:sz="4" w:space="0"/>
            </w:tcBorders>
            <w:vAlign w:val="center"/>
          </w:tcPr>
          <w:p w14:paraId="5DA496D8">
            <w:pPr>
              <w:widowControl/>
              <w:rPr>
                <w:szCs w:val="21"/>
              </w:rPr>
            </w:pPr>
          </w:p>
        </w:tc>
        <w:tc>
          <w:tcPr>
            <w:tcW w:w="1526" w:type="dxa"/>
            <w:tcBorders>
              <w:top w:val="nil"/>
              <w:left w:val="nil"/>
              <w:bottom w:val="single" w:color="auto" w:sz="4" w:space="0"/>
              <w:right w:val="single" w:color="auto" w:sz="4" w:space="0"/>
            </w:tcBorders>
            <w:noWrap/>
            <w:vAlign w:val="center"/>
          </w:tcPr>
          <w:p w14:paraId="0E3BC020">
            <w:pPr>
              <w:widowControl/>
              <w:jc w:val="center"/>
              <w:rPr>
                <w:szCs w:val="21"/>
              </w:rPr>
            </w:pPr>
            <w:r>
              <w:rPr>
                <w:rFonts w:hint="eastAsia" w:ascii="等线" w:hAnsi="等线" w:eastAsia="等线"/>
                <w:szCs w:val="21"/>
              </w:rPr>
              <w:t>（</w:t>
            </w:r>
            <w:r>
              <w:rPr>
                <w:szCs w:val="21"/>
              </w:rPr>
              <w:t>95~300</w:t>
            </w:r>
            <w:r>
              <w:rPr>
                <w:rFonts w:hint="eastAsia" w:ascii="等线" w:hAnsi="等线" w:eastAsia="等线"/>
                <w:szCs w:val="21"/>
              </w:rPr>
              <w:t>）</w:t>
            </w:r>
            <w:r>
              <w:rPr>
                <w:szCs w:val="21"/>
              </w:rPr>
              <w:t>℃</w:t>
            </w:r>
          </w:p>
        </w:tc>
        <w:tc>
          <w:tcPr>
            <w:tcW w:w="926" w:type="dxa"/>
            <w:tcBorders>
              <w:top w:val="nil"/>
              <w:left w:val="nil"/>
              <w:bottom w:val="single" w:color="auto" w:sz="4" w:space="0"/>
              <w:right w:val="single" w:color="auto" w:sz="4" w:space="0"/>
            </w:tcBorders>
            <w:noWrap/>
            <w:vAlign w:val="center"/>
          </w:tcPr>
          <w:p w14:paraId="2546556E">
            <w:pPr>
              <w:widowControl/>
              <w:jc w:val="center"/>
              <w:rPr>
                <w:szCs w:val="21"/>
              </w:rPr>
            </w:pPr>
            <w:r>
              <w:rPr>
                <w:szCs w:val="21"/>
              </w:rPr>
              <w:t>0.01</w:t>
            </w:r>
          </w:p>
        </w:tc>
        <w:tc>
          <w:tcPr>
            <w:tcW w:w="1056" w:type="dxa"/>
            <w:tcBorders>
              <w:top w:val="nil"/>
              <w:left w:val="nil"/>
              <w:bottom w:val="single" w:color="auto" w:sz="4" w:space="0"/>
              <w:right w:val="single" w:color="auto" w:sz="4" w:space="0"/>
            </w:tcBorders>
            <w:noWrap/>
            <w:vAlign w:val="center"/>
          </w:tcPr>
          <w:p w14:paraId="16483395">
            <w:pPr>
              <w:widowControl/>
              <w:jc w:val="center"/>
              <w:rPr>
                <w:szCs w:val="21"/>
              </w:rPr>
            </w:pPr>
            <w:r>
              <w:rPr>
                <w:szCs w:val="21"/>
              </w:rPr>
              <w:t>0.02</w:t>
            </w:r>
          </w:p>
        </w:tc>
        <w:tc>
          <w:tcPr>
            <w:tcW w:w="1186" w:type="dxa"/>
            <w:tcBorders>
              <w:top w:val="nil"/>
              <w:left w:val="nil"/>
              <w:bottom w:val="single" w:color="auto" w:sz="4" w:space="0"/>
              <w:right w:val="single" w:color="auto" w:sz="4" w:space="0"/>
            </w:tcBorders>
            <w:noWrap/>
            <w:vAlign w:val="center"/>
          </w:tcPr>
          <w:p w14:paraId="6AEF8DB4">
            <w:pPr>
              <w:widowControl/>
              <w:jc w:val="center"/>
              <w:rPr>
                <w:szCs w:val="21"/>
              </w:rPr>
            </w:pPr>
            <w:r>
              <w:rPr>
                <w:szCs w:val="21"/>
              </w:rPr>
              <w:t>0.02</w:t>
            </w:r>
          </w:p>
        </w:tc>
        <w:tc>
          <w:tcPr>
            <w:tcW w:w="1806" w:type="dxa"/>
            <w:vMerge w:val="continue"/>
            <w:tcBorders>
              <w:left w:val="single" w:color="auto" w:sz="4" w:space="0"/>
              <w:right w:val="single" w:color="auto" w:sz="4" w:space="0"/>
            </w:tcBorders>
            <w:vAlign w:val="center"/>
          </w:tcPr>
          <w:p w14:paraId="031C2389">
            <w:pPr>
              <w:widowControl/>
              <w:jc w:val="center"/>
              <w:rPr>
                <w:szCs w:val="21"/>
              </w:rPr>
            </w:pPr>
          </w:p>
        </w:tc>
      </w:tr>
      <w:tr w14:paraId="1DB0493D">
        <w:tblPrEx>
          <w:tblCellMar>
            <w:top w:w="0" w:type="dxa"/>
            <w:left w:w="108" w:type="dxa"/>
            <w:bottom w:w="0" w:type="dxa"/>
            <w:right w:w="108" w:type="dxa"/>
          </w:tblCellMar>
        </w:tblPrEx>
        <w:trPr>
          <w:trHeight w:val="465" w:hRule="atLeast"/>
          <w:jc w:val="center"/>
        </w:trPr>
        <w:tc>
          <w:tcPr>
            <w:tcW w:w="702" w:type="dxa"/>
            <w:vMerge w:val="continue"/>
            <w:tcBorders>
              <w:top w:val="single" w:color="auto" w:sz="4" w:space="0"/>
              <w:left w:val="single" w:color="auto" w:sz="4" w:space="0"/>
              <w:bottom w:val="single" w:color="auto" w:sz="4" w:space="0"/>
              <w:right w:val="single" w:color="auto" w:sz="4" w:space="0"/>
            </w:tcBorders>
            <w:vAlign w:val="center"/>
          </w:tcPr>
          <w:p w14:paraId="3A7719F0">
            <w:pPr>
              <w:widowControl/>
              <w:jc w:val="center"/>
              <w:rPr>
                <w:szCs w:val="21"/>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14:paraId="062AEA9A">
            <w:pPr>
              <w:widowControl/>
              <w:rPr>
                <w:szCs w:val="21"/>
              </w:rPr>
            </w:pPr>
          </w:p>
        </w:tc>
        <w:tc>
          <w:tcPr>
            <w:tcW w:w="1041" w:type="dxa"/>
            <w:vMerge w:val="continue"/>
            <w:tcBorders>
              <w:left w:val="single" w:color="auto" w:sz="4" w:space="0"/>
              <w:bottom w:val="single" w:color="auto" w:sz="4" w:space="0"/>
              <w:right w:val="single" w:color="auto" w:sz="4" w:space="0"/>
            </w:tcBorders>
            <w:vAlign w:val="center"/>
          </w:tcPr>
          <w:p w14:paraId="3776C454">
            <w:pPr>
              <w:widowControl/>
              <w:rPr>
                <w:szCs w:val="21"/>
              </w:rPr>
            </w:pPr>
          </w:p>
        </w:tc>
        <w:tc>
          <w:tcPr>
            <w:tcW w:w="1526" w:type="dxa"/>
            <w:tcBorders>
              <w:top w:val="nil"/>
              <w:left w:val="nil"/>
              <w:bottom w:val="single" w:color="auto" w:sz="4" w:space="0"/>
              <w:right w:val="single" w:color="auto" w:sz="4" w:space="0"/>
            </w:tcBorders>
            <w:noWrap/>
            <w:vAlign w:val="center"/>
          </w:tcPr>
          <w:p w14:paraId="62568EB3">
            <w:pPr>
              <w:widowControl/>
              <w:jc w:val="center"/>
              <w:rPr>
                <w:szCs w:val="21"/>
              </w:rPr>
            </w:pPr>
            <w:r>
              <w:rPr>
                <w:rFonts w:hint="eastAsia" w:ascii="等线" w:hAnsi="等线" w:eastAsia="等线"/>
                <w:szCs w:val="21"/>
              </w:rPr>
              <w:t>（</w:t>
            </w:r>
            <w:r>
              <w:rPr>
                <w:szCs w:val="21"/>
              </w:rPr>
              <w:t>300~600</w:t>
            </w:r>
            <w:r>
              <w:rPr>
                <w:rFonts w:hint="eastAsia" w:ascii="等线" w:hAnsi="等线" w:eastAsia="等线"/>
                <w:szCs w:val="21"/>
              </w:rPr>
              <w:t>）</w:t>
            </w:r>
            <w:r>
              <w:rPr>
                <w:szCs w:val="21"/>
              </w:rPr>
              <w:t>℃</w:t>
            </w:r>
          </w:p>
        </w:tc>
        <w:tc>
          <w:tcPr>
            <w:tcW w:w="926" w:type="dxa"/>
            <w:tcBorders>
              <w:top w:val="nil"/>
              <w:left w:val="nil"/>
              <w:bottom w:val="single" w:color="auto" w:sz="4" w:space="0"/>
              <w:right w:val="single" w:color="auto" w:sz="4" w:space="0"/>
            </w:tcBorders>
            <w:noWrap/>
            <w:vAlign w:val="center"/>
          </w:tcPr>
          <w:p w14:paraId="2DAD4E1B">
            <w:pPr>
              <w:widowControl/>
              <w:jc w:val="center"/>
              <w:rPr>
                <w:szCs w:val="21"/>
              </w:rPr>
            </w:pPr>
            <w:r>
              <w:rPr>
                <w:szCs w:val="21"/>
              </w:rPr>
              <w:t>0.05</w:t>
            </w:r>
          </w:p>
        </w:tc>
        <w:tc>
          <w:tcPr>
            <w:tcW w:w="1056" w:type="dxa"/>
            <w:tcBorders>
              <w:top w:val="nil"/>
              <w:left w:val="nil"/>
              <w:bottom w:val="single" w:color="auto" w:sz="4" w:space="0"/>
              <w:right w:val="single" w:color="auto" w:sz="4" w:space="0"/>
            </w:tcBorders>
            <w:noWrap/>
            <w:vAlign w:val="center"/>
          </w:tcPr>
          <w:p w14:paraId="6C9A3CEB">
            <w:pPr>
              <w:widowControl/>
              <w:jc w:val="center"/>
              <w:rPr>
                <w:szCs w:val="21"/>
              </w:rPr>
            </w:pPr>
            <w:r>
              <w:rPr>
                <w:szCs w:val="21"/>
              </w:rPr>
              <w:t>0.10</w:t>
            </w:r>
          </w:p>
        </w:tc>
        <w:tc>
          <w:tcPr>
            <w:tcW w:w="1186" w:type="dxa"/>
            <w:tcBorders>
              <w:top w:val="nil"/>
              <w:left w:val="nil"/>
              <w:bottom w:val="single" w:color="auto" w:sz="4" w:space="0"/>
              <w:right w:val="single" w:color="auto" w:sz="4" w:space="0"/>
            </w:tcBorders>
            <w:noWrap/>
            <w:vAlign w:val="center"/>
          </w:tcPr>
          <w:p w14:paraId="741FFEC6">
            <w:pPr>
              <w:widowControl/>
              <w:jc w:val="center"/>
              <w:rPr>
                <w:szCs w:val="21"/>
              </w:rPr>
            </w:pPr>
            <w:r>
              <w:rPr>
                <w:szCs w:val="21"/>
              </w:rPr>
              <w:t>0.05</w:t>
            </w:r>
          </w:p>
        </w:tc>
        <w:tc>
          <w:tcPr>
            <w:tcW w:w="1806" w:type="dxa"/>
            <w:vMerge w:val="continue"/>
            <w:tcBorders>
              <w:left w:val="single" w:color="auto" w:sz="4" w:space="0"/>
              <w:right w:val="single" w:color="auto" w:sz="4" w:space="0"/>
            </w:tcBorders>
            <w:vAlign w:val="center"/>
          </w:tcPr>
          <w:p w14:paraId="0A7DF86E">
            <w:pPr>
              <w:widowControl/>
              <w:jc w:val="center"/>
              <w:rPr>
                <w:szCs w:val="21"/>
              </w:rPr>
            </w:pPr>
          </w:p>
        </w:tc>
      </w:tr>
      <w:tr w14:paraId="333705E4">
        <w:tblPrEx>
          <w:tblCellMar>
            <w:top w:w="0" w:type="dxa"/>
            <w:left w:w="108" w:type="dxa"/>
            <w:bottom w:w="0" w:type="dxa"/>
            <w:right w:w="108" w:type="dxa"/>
          </w:tblCellMar>
        </w:tblPrEx>
        <w:trPr>
          <w:trHeight w:val="636" w:hRule="atLeast"/>
          <w:jc w:val="center"/>
        </w:trPr>
        <w:tc>
          <w:tcPr>
            <w:tcW w:w="702" w:type="dxa"/>
            <w:vMerge w:val="continue"/>
            <w:tcBorders>
              <w:top w:val="single" w:color="auto" w:sz="4" w:space="0"/>
              <w:left w:val="single" w:color="auto" w:sz="4" w:space="0"/>
              <w:bottom w:val="single" w:color="auto" w:sz="4" w:space="0"/>
              <w:right w:val="single" w:color="auto" w:sz="4" w:space="0"/>
            </w:tcBorders>
            <w:vAlign w:val="center"/>
          </w:tcPr>
          <w:p w14:paraId="0EF66242">
            <w:pPr>
              <w:widowControl/>
              <w:jc w:val="center"/>
              <w:rPr>
                <w:szCs w:val="21"/>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14:paraId="1D244131">
            <w:pPr>
              <w:widowControl/>
              <w:rPr>
                <w:szCs w:val="21"/>
              </w:rPr>
            </w:pPr>
          </w:p>
        </w:tc>
        <w:tc>
          <w:tcPr>
            <w:tcW w:w="1041" w:type="dxa"/>
            <w:tcBorders>
              <w:top w:val="nil"/>
              <w:left w:val="nil"/>
              <w:bottom w:val="single" w:color="auto" w:sz="4" w:space="0"/>
              <w:right w:val="single" w:color="auto" w:sz="4" w:space="0"/>
            </w:tcBorders>
            <w:noWrap/>
            <w:vAlign w:val="center"/>
          </w:tcPr>
          <w:p w14:paraId="12E5A5A8">
            <w:pPr>
              <w:jc w:val="center"/>
              <w:rPr>
                <w:rFonts w:ascii="Cambria Math" w:hAnsi="Cambria Math" w:cs="Cambria Math"/>
                <w:szCs w:val="21"/>
              </w:rPr>
            </w:pPr>
            <w:r>
              <w:rPr>
                <w:rFonts w:hint="eastAsia" w:ascii="Cambria Math" w:hAnsi="Cambria Math" w:cs="Cambria Math"/>
                <w:szCs w:val="21"/>
              </w:rPr>
              <w:t>廉金属偶检定炉</w:t>
            </w:r>
          </w:p>
        </w:tc>
        <w:tc>
          <w:tcPr>
            <w:tcW w:w="4694" w:type="dxa"/>
            <w:gridSpan w:val="4"/>
            <w:tcBorders>
              <w:top w:val="single" w:color="auto" w:sz="4" w:space="0"/>
              <w:left w:val="nil"/>
              <w:bottom w:val="single" w:color="auto" w:sz="4" w:space="0"/>
              <w:right w:val="single" w:color="auto" w:sz="4" w:space="0"/>
            </w:tcBorders>
            <w:vAlign w:val="center"/>
          </w:tcPr>
          <w:p w14:paraId="0F10E1FF">
            <w:pPr>
              <w:rPr>
                <w:rFonts w:ascii="Cambria Math" w:hAnsi="Cambria Math" w:cs="Cambria Math"/>
                <w:szCs w:val="21"/>
              </w:rPr>
            </w:pPr>
            <w:r>
              <w:rPr>
                <w:rFonts w:hint="eastAsia" w:ascii="Cambria Math" w:hAnsi="Cambria Math" w:cs="Cambria Math"/>
                <w:szCs w:val="21"/>
              </w:rPr>
              <w:t>300℃以上使用时应配置等温块;有效工作区域轴向30mm内任意两点温差绝对值不大于0.5℃;径向半径不小于14 nm范围内，同一截面任意两点的温差绝对值不大于0.25℃</w:t>
            </w:r>
          </w:p>
        </w:tc>
        <w:tc>
          <w:tcPr>
            <w:tcW w:w="1806" w:type="dxa"/>
            <w:vMerge w:val="continue"/>
            <w:tcBorders>
              <w:left w:val="single" w:color="auto" w:sz="4" w:space="0"/>
              <w:right w:val="single" w:color="auto" w:sz="4" w:space="0"/>
            </w:tcBorders>
            <w:vAlign w:val="center"/>
          </w:tcPr>
          <w:p w14:paraId="15BA9D73">
            <w:pPr>
              <w:widowControl/>
              <w:jc w:val="center"/>
              <w:rPr>
                <w:szCs w:val="21"/>
              </w:rPr>
            </w:pPr>
          </w:p>
        </w:tc>
      </w:tr>
      <w:tr w14:paraId="18A34277">
        <w:tblPrEx>
          <w:tblCellMar>
            <w:top w:w="0" w:type="dxa"/>
            <w:left w:w="108" w:type="dxa"/>
            <w:bottom w:w="0" w:type="dxa"/>
            <w:right w:w="108" w:type="dxa"/>
          </w:tblCellMar>
        </w:tblPrEx>
        <w:trPr>
          <w:trHeight w:val="204" w:hRule="atLeast"/>
          <w:jc w:val="center"/>
        </w:trPr>
        <w:tc>
          <w:tcPr>
            <w:tcW w:w="702" w:type="dxa"/>
            <w:vMerge w:val="continue"/>
            <w:tcBorders>
              <w:top w:val="single" w:color="auto" w:sz="4" w:space="0"/>
              <w:left w:val="single" w:color="auto" w:sz="4" w:space="0"/>
              <w:bottom w:val="single" w:color="auto" w:sz="4" w:space="0"/>
              <w:right w:val="single" w:color="auto" w:sz="4" w:space="0"/>
            </w:tcBorders>
            <w:vAlign w:val="center"/>
          </w:tcPr>
          <w:p w14:paraId="673FB111">
            <w:pPr>
              <w:widowControl/>
              <w:jc w:val="center"/>
              <w:rPr>
                <w:szCs w:val="21"/>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14:paraId="1178BE42">
            <w:pPr>
              <w:widowControl/>
              <w:rPr>
                <w:szCs w:val="21"/>
              </w:rPr>
            </w:pPr>
          </w:p>
        </w:tc>
        <w:tc>
          <w:tcPr>
            <w:tcW w:w="1041" w:type="dxa"/>
            <w:tcBorders>
              <w:top w:val="single" w:color="auto" w:sz="4" w:space="0"/>
              <w:left w:val="nil"/>
              <w:bottom w:val="single" w:color="auto" w:sz="4" w:space="0"/>
              <w:right w:val="single" w:color="auto" w:sz="4" w:space="0"/>
            </w:tcBorders>
            <w:noWrap/>
            <w:vAlign w:val="center"/>
          </w:tcPr>
          <w:p w14:paraId="60279EB9">
            <w:pPr>
              <w:jc w:val="center"/>
              <w:rPr>
                <w:rFonts w:ascii="Cambria Math" w:hAnsi="Cambria Math" w:cs="Cambria Math"/>
                <w:szCs w:val="21"/>
              </w:rPr>
            </w:pPr>
            <w:r>
              <w:rPr>
                <w:rFonts w:hint="eastAsia" w:ascii="Cambria Math" w:hAnsi="Cambria Math" w:cs="Cambria Math"/>
                <w:szCs w:val="21"/>
              </w:rPr>
              <w:t>贵金属偶检定炉(S型、R型)</w:t>
            </w:r>
          </w:p>
        </w:tc>
        <w:tc>
          <w:tcPr>
            <w:tcW w:w="4694" w:type="dxa"/>
            <w:gridSpan w:val="4"/>
            <w:tcBorders>
              <w:top w:val="single" w:color="auto" w:sz="4" w:space="0"/>
              <w:left w:val="nil"/>
              <w:bottom w:val="single" w:color="auto" w:sz="4" w:space="0"/>
              <w:right w:val="single" w:color="auto" w:sz="4" w:space="0"/>
            </w:tcBorders>
            <w:vAlign w:val="center"/>
          </w:tcPr>
          <w:p w14:paraId="6B011A9D">
            <w:pPr>
              <w:rPr>
                <w:rFonts w:ascii="Cambria Math" w:hAnsi="Cambria Math" w:cs="Cambria Math"/>
                <w:szCs w:val="21"/>
              </w:rPr>
            </w:pPr>
            <w:r>
              <w:rPr>
                <w:rFonts w:hint="eastAsia" w:ascii="Cambria Math" w:hAnsi="Cambria Math" w:cs="Cambria Math"/>
                <w:szCs w:val="21"/>
              </w:rPr>
              <w:t>炉长约600mm，炉管内径约20mm，常用温度为1100℃炉内温度最高点偏离炉子几何中心不大于20 mm，温度最高点士20mm内有温度变化梯度:&lt;00.4℃/10 mm 的均匀温场</w:t>
            </w:r>
          </w:p>
        </w:tc>
        <w:tc>
          <w:tcPr>
            <w:tcW w:w="1806" w:type="dxa"/>
            <w:vMerge w:val="continue"/>
            <w:tcBorders>
              <w:left w:val="single" w:color="auto" w:sz="4" w:space="0"/>
              <w:right w:val="single" w:color="auto" w:sz="4" w:space="0"/>
            </w:tcBorders>
            <w:vAlign w:val="center"/>
          </w:tcPr>
          <w:p w14:paraId="2466D918">
            <w:pPr>
              <w:widowControl/>
              <w:jc w:val="center"/>
              <w:rPr>
                <w:szCs w:val="21"/>
              </w:rPr>
            </w:pPr>
          </w:p>
        </w:tc>
      </w:tr>
      <w:tr w14:paraId="039BB23A">
        <w:tblPrEx>
          <w:tblCellMar>
            <w:top w:w="0" w:type="dxa"/>
            <w:left w:w="108" w:type="dxa"/>
            <w:bottom w:w="0" w:type="dxa"/>
            <w:right w:w="108" w:type="dxa"/>
          </w:tblCellMar>
        </w:tblPrEx>
        <w:trPr>
          <w:trHeight w:val="408" w:hRule="atLeast"/>
          <w:jc w:val="center"/>
        </w:trPr>
        <w:tc>
          <w:tcPr>
            <w:tcW w:w="702" w:type="dxa"/>
            <w:vMerge w:val="continue"/>
            <w:tcBorders>
              <w:top w:val="single" w:color="auto" w:sz="4" w:space="0"/>
              <w:left w:val="single" w:color="auto" w:sz="4" w:space="0"/>
              <w:bottom w:val="single" w:color="auto" w:sz="4" w:space="0"/>
              <w:right w:val="single" w:color="auto" w:sz="4" w:space="0"/>
            </w:tcBorders>
            <w:vAlign w:val="center"/>
          </w:tcPr>
          <w:p w14:paraId="40CCC889">
            <w:pPr>
              <w:widowControl/>
              <w:jc w:val="center"/>
              <w:rPr>
                <w:szCs w:val="21"/>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14:paraId="0B360AA9">
            <w:pPr>
              <w:widowControl/>
              <w:rPr>
                <w:szCs w:val="21"/>
              </w:rPr>
            </w:pPr>
          </w:p>
        </w:tc>
        <w:tc>
          <w:tcPr>
            <w:tcW w:w="1041" w:type="dxa"/>
            <w:tcBorders>
              <w:top w:val="single" w:color="auto" w:sz="4" w:space="0"/>
              <w:left w:val="nil"/>
              <w:bottom w:val="single" w:color="auto" w:sz="4" w:space="0"/>
              <w:right w:val="single" w:color="auto" w:sz="4" w:space="0"/>
            </w:tcBorders>
            <w:noWrap/>
            <w:vAlign w:val="center"/>
          </w:tcPr>
          <w:p w14:paraId="3343B589">
            <w:pPr>
              <w:jc w:val="center"/>
              <w:rPr>
                <w:rFonts w:ascii="Cambria Math" w:hAnsi="Cambria Math" w:cs="Cambria Math"/>
                <w:szCs w:val="21"/>
              </w:rPr>
            </w:pPr>
            <w:r>
              <w:rPr>
                <w:rFonts w:hint="eastAsia" w:ascii="Cambria Math" w:hAnsi="Cambria Math" w:cs="Cambria Math"/>
                <w:szCs w:val="21"/>
              </w:rPr>
              <w:t>贵金属偶检定炉(B型)</w:t>
            </w:r>
          </w:p>
        </w:tc>
        <w:tc>
          <w:tcPr>
            <w:tcW w:w="4694" w:type="dxa"/>
            <w:gridSpan w:val="4"/>
            <w:tcBorders>
              <w:top w:val="single" w:color="auto" w:sz="4" w:space="0"/>
              <w:left w:val="nil"/>
              <w:bottom w:val="single" w:color="auto" w:sz="4" w:space="0"/>
              <w:right w:val="single" w:color="auto" w:sz="4" w:space="0"/>
            </w:tcBorders>
            <w:vAlign w:val="center"/>
          </w:tcPr>
          <w:p w14:paraId="47980ED4">
            <w:pPr>
              <w:rPr>
                <w:rFonts w:ascii="Cambria Math" w:hAnsi="Cambria Math" w:cs="Cambria Math"/>
                <w:szCs w:val="21"/>
              </w:rPr>
            </w:pPr>
            <w:r>
              <w:rPr>
                <w:rFonts w:hint="eastAsia" w:ascii="Cambria Math" w:hAnsi="Cambria Math" w:cs="Cambria Math"/>
                <w:szCs w:val="21"/>
              </w:rPr>
              <w:t>炉长约600mm，炉管内径约20mm，常用温度为1500℃炉内温度最高点偏离炉子几何中心不大于20 mm，温度最高点士20mm内有温度变化梯度&lt;0.5℃/10 mm 的均匀温场</w:t>
            </w:r>
          </w:p>
        </w:tc>
        <w:tc>
          <w:tcPr>
            <w:tcW w:w="1806" w:type="dxa"/>
            <w:vMerge w:val="continue"/>
            <w:tcBorders>
              <w:left w:val="single" w:color="auto" w:sz="4" w:space="0"/>
              <w:bottom w:val="single" w:color="auto" w:sz="4" w:space="0"/>
              <w:right w:val="single" w:color="auto" w:sz="4" w:space="0"/>
            </w:tcBorders>
            <w:vAlign w:val="center"/>
          </w:tcPr>
          <w:p w14:paraId="2F7DAE7D">
            <w:pPr>
              <w:widowControl/>
              <w:jc w:val="center"/>
              <w:rPr>
                <w:szCs w:val="21"/>
              </w:rPr>
            </w:pPr>
          </w:p>
        </w:tc>
      </w:tr>
      <w:tr w14:paraId="6AB389BE">
        <w:tblPrEx>
          <w:tblCellMar>
            <w:top w:w="0" w:type="dxa"/>
            <w:left w:w="108" w:type="dxa"/>
            <w:bottom w:w="0" w:type="dxa"/>
            <w:right w:w="108" w:type="dxa"/>
          </w:tblCellMar>
        </w:tblPrEx>
        <w:trPr>
          <w:trHeight w:val="840" w:hRule="atLeast"/>
          <w:jc w:val="center"/>
        </w:trPr>
        <w:tc>
          <w:tcPr>
            <w:tcW w:w="702" w:type="dxa"/>
            <w:vMerge w:val="continue"/>
            <w:tcBorders>
              <w:top w:val="single" w:color="auto" w:sz="4" w:space="0"/>
              <w:left w:val="single" w:color="auto" w:sz="4" w:space="0"/>
              <w:bottom w:val="single" w:color="auto" w:sz="4" w:space="0"/>
              <w:right w:val="single" w:color="auto" w:sz="4" w:space="0"/>
            </w:tcBorders>
            <w:vAlign w:val="center"/>
          </w:tcPr>
          <w:p w14:paraId="60E9CFBF">
            <w:pPr>
              <w:widowControl/>
              <w:jc w:val="center"/>
              <w:rPr>
                <w:szCs w:val="21"/>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14:paraId="04D3BD03">
            <w:pPr>
              <w:widowControl/>
              <w:rPr>
                <w:szCs w:val="21"/>
              </w:rPr>
            </w:pPr>
          </w:p>
        </w:tc>
        <w:tc>
          <w:tcPr>
            <w:tcW w:w="1041" w:type="dxa"/>
            <w:tcBorders>
              <w:top w:val="nil"/>
              <w:left w:val="nil"/>
              <w:bottom w:val="single" w:color="auto" w:sz="4" w:space="0"/>
              <w:right w:val="single" w:color="auto" w:sz="4" w:space="0"/>
            </w:tcBorders>
            <w:noWrap/>
            <w:vAlign w:val="center"/>
          </w:tcPr>
          <w:p w14:paraId="4A06E1C6">
            <w:pPr>
              <w:widowControl/>
              <w:jc w:val="center"/>
              <w:rPr>
                <w:szCs w:val="21"/>
              </w:rPr>
            </w:pPr>
            <w:r>
              <w:rPr>
                <w:szCs w:val="21"/>
              </w:rPr>
              <w:t>恒温箱</w:t>
            </w:r>
          </w:p>
        </w:tc>
        <w:tc>
          <w:tcPr>
            <w:tcW w:w="4694" w:type="dxa"/>
            <w:gridSpan w:val="4"/>
            <w:tcBorders>
              <w:top w:val="single" w:color="auto" w:sz="4" w:space="0"/>
              <w:left w:val="nil"/>
              <w:bottom w:val="single" w:color="auto" w:sz="4" w:space="0"/>
              <w:right w:val="single" w:color="auto" w:sz="4" w:space="0"/>
            </w:tcBorders>
            <w:vAlign w:val="center"/>
          </w:tcPr>
          <w:p w14:paraId="05103FED">
            <w:pPr>
              <w:widowControl/>
              <w:jc w:val="center"/>
              <w:rPr>
                <w:rFonts w:hint="eastAsia" w:ascii="宋体" w:hAnsi="宋体"/>
                <w:szCs w:val="21"/>
              </w:rPr>
            </w:pPr>
            <w:r>
              <w:rPr>
                <w:rFonts w:hint="eastAsia" w:ascii="宋体" w:hAnsi="宋体" w:eastAsia="等线"/>
                <w:szCs w:val="21"/>
              </w:rPr>
              <w:t>测量范围：</w:t>
            </w:r>
            <w:r>
              <w:rPr>
                <w:rFonts w:hint="eastAsia" w:ascii="宋体" w:hAnsi="宋体"/>
                <w:szCs w:val="21"/>
              </w:rPr>
              <w:t>（</w:t>
            </w:r>
            <w:r>
              <w:rPr>
                <w:rFonts w:hint="eastAsia"/>
                <w:szCs w:val="21"/>
              </w:rPr>
              <w:t>-4</w:t>
            </w:r>
            <w:r>
              <w:rPr>
                <w:szCs w:val="21"/>
              </w:rPr>
              <w:t>0~</w:t>
            </w:r>
            <w:r>
              <w:rPr>
                <w:rFonts w:hint="eastAsia"/>
                <w:szCs w:val="21"/>
              </w:rPr>
              <w:t>85</w:t>
            </w:r>
            <w:r>
              <w:rPr>
                <w:rFonts w:hint="eastAsia" w:ascii="宋体" w:hAnsi="宋体"/>
                <w:szCs w:val="21"/>
              </w:rPr>
              <w:t>）℃；温度偏差不超过±0.5℃，</w:t>
            </w:r>
          </w:p>
          <w:p w14:paraId="5B711627">
            <w:pPr>
              <w:widowControl/>
              <w:rPr>
                <w:szCs w:val="21"/>
              </w:rPr>
            </w:pPr>
            <w:r>
              <w:rPr>
                <w:rFonts w:hint="eastAsia" w:ascii="宋体" w:hAnsi="宋体"/>
                <w:szCs w:val="21"/>
              </w:rPr>
              <w:t>有效工作区域内温度均匀度不超过</w:t>
            </w:r>
            <w:r>
              <w:rPr>
                <w:szCs w:val="21"/>
              </w:rPr>
              <w:t>0.5</w:t>
            </w:r>
            <w:r>
              <w:rPr>
                <w:rFonts w:hint="eastAsia" w:ascii="宋体" w:hAnsi="宋体"/>
                <w:szCs w:val="21"/>
              </w:rPr>
              <w:t>℃，温度波动度不超过</w:t>
            </w:r>
            <w:r>
              <w:rPr>
                <w:szCs w:val="21"/>
              </w:rPr>
              <w:t>±0.2</w:t>
            </w:r>
            <w:r>
              <w:rPr>
                <w:rFonts w:hint="eastAsia" w:ascii="宋体" w:hAnsi="宋体"/>
                <w:szCs w:val="21"/>
              </w:rPr>
              <w:t>℃</w:t>
            </w:r>
            <w:r>
              <w:rPr>
                <w:szCs w:val="21"/>
              </w:rPr>
              <w:t>/10 min</w:t>
            </w:r>
          </w:p>
        </w:tc>
        <w:tc>
          <w:tcPr>
            <w:tcW w:w="1806" w:type="dxa"/>
            <w:tcBorders>
              <w:top w:val="single" w:color="auto" w:sz="4" w:space="0"/>
              <w:left w:val="single" w:color="auto" w:sz="4" w:space="0"/>
              <w:bottom w:val="single" w:color="auto" w:sz="4" w:space="0"/>
              <w:right w:val="single" w:color="auto" w:sz="4" w:space="0"/>
            </w:tcBorders>
            <w:vAlign w:val="center"/>
          </w:tcPr>
          <w:p w14:paraId="1C6BB2B5">
            <w:pPr>
              <w:widowControl/>
              <w:jc w:val="center"/>
              <w:rPr>
                <w:szCs w:val="21"/>
              </w:rPr>
            </w:pPr>
            <w:r>
              <w:rPr>
                <w:szCs w:val="21"/>
              </w:rPr>
              <w:t>为炉温跟踪仪提供工况温度环境。</w:t>
            </w:r>
          </w:p>
        </w:tc>
      </w:tr>
      <w:tr w14:paraId="494DDE00">
        <w:tblPrEx>
          <w:tblCellMar>
            <w:top w:w="0" w:type="dxa"/>
            <w:left w:w="108" w:type="dxa"/>
            <w:bottom w:w="0" w:type="dxa"/>
            <w:right w:w="108" w:type="dxa"/>
          </w:tblCellMar>
        </w:tblPrEx>
        <w:trPr>
          <w:trHeight w:val="840" w:hRule="atLeast"/>
          <w:jc w:val="center"/>
        </w:trPr>
        <w:tc>
          <w:tcPr>
            <w:tcW w:w="702" w:type="dxa"/>
            <w:tcBorders>
              <w:top w:val="single" w:color="auto" w:sz="4" w:space="0"/>
              <w:left w:val="single" w:color="auto" w:sz="4" w:space="0"/>
              <w:bottom w:val="single" w:color="auto" w:sz="4" w:space="0"/>
              <w:right w:val="single" w:color="auto" w:sz="4" w:space="0"/>
            </w:tcBorders>
            <w:vAlign w:val="center"/>
          </w:tcPr>
          <w:p w14:paraId="04B81C83">
            <w:pPr>
              <w:widowControl/>
              <w:jc w:val="center"/>
              <w:rPr>
                <w:rFonts w:eastAsia="等线"/>
                <w:szCs w:val="21"/>
              </w:rPr>
            </w:pPr>
            <w:r>
              <w:rPr>
                <w:rFonts w:hint="eastAsia" w:eastAsia="等线"/>
                <w:szCs w:val="21"/>
              </w:rPr>
              <w:t>5</w:t>
            </w:r>
          </w:p>
        </w:tc>
        <w:tc>
          <w:tcPr>
            <w:tcW w:w="1858" w:type="dxa"/>
            <w:gridSpan w:val="2"/>
            <w:tcBorders>
              <w:top w:val="single" w:color="auto" w:sz="4" w:space="0"/>
              <w:left w:val="single" w:color="auto" w:sz="4" w:space="0"/>
              <w:bottom w:val="single" w:color="auto" w:sz="4" w:space="0"/>
              <w:right w:val="single" w:color="auto" w:sz="4" w:space="0"/>
            </w:tcBorders>
            <w:vAlign w:val="center"/>
          </w:tcPr>
          <w:p w14:paraId="262A82F1">
            <w:pPr>
              <w:widowControl/>
              <w:jc w:val="center"/>
              <w:rPr>
                <w:szCs w:val="21"/>
              </w:rPr>
            </w:pPr>
            <w:r>
              <w:rPr>
                <w:rFonts w:hint="eastAsia" w:ascii="等线" w:hAnsi="等线" w:eastAsia="等线"/>
                <w:szCs w:val="21"/>
              </w:rPr>
              <w:t>高精度铂电阻温度计</w:t>
            </w:r>
          </w:p>
        </w:tc>
        <w:tc>
          <w:tcPr>
            <w:tcW w:w="4694" w:type="dxa"/>
            <w:gridSpan w:val="4"/>
            <w:tcBorders>
              <w:top w:val="single" w:color="auto" w:sz="4" w:space="0"/>
              <w:left w:val="nil"/>
              <w:bottom w:val="single" w:color="auto" w:sz="4" w:space="0"/>
              <w:right w:val="single" w:color="auto" w:sz="4" w:space="0"/>
            </w:tcBorders>
            <w:vAlign w:val="center"/>
          </w:tcPr>
          <w:p w14:paraId="47EE179D">
            <w:pPr>
              <w:widowControl/>
              <w:rPr>
                <w:szCs w:val="21"/>
              </w:rPr>
            </w:pPr>
            <w:r>
              <w:rPr>
                <w:rFonts w:hint="eastAsia" w:ascii="等线" w:hAnsi="等线" w:eastAsia="等线"/>
                <w:szCs w:val="21"/>
              </w:rPr>
              <w:t>测量范围</w:t>
            </w:r>
            <w:r>
              <w:rPr>
                <w:rFonts w:hint="eastAsia" w:ascii="宋体" w:hAnsi="宋体"/>
                <w:szCs w:val="21"/>
              </w:rPr>
              <w:t>（</w:t>
            </w:r>
            <w:r>
              <w:rPr>
                <w:rFonts w:hint="eastAsia"/>
                <w:szCs w:val="21"/>
              </w:rPr>
              <w:t>-4</w:t>
            </w:r>
            <w:r>
              <w:rPr>
                <w:szCs w:val="21"/>
              </w:rPr>
              <w:t>0~</w:t>
            </w:r>
            <w:r>
              <w:rPr>
                <w:rFonts w:hint="eastAsia"/>
                <w:szCs w:val="21"/>
              </w:rPr>
              <w:t>85</w:t>
            </w:r>
            <w:r>
              <w:rPr>
                <w:rFonts w:hint="eastAsia" w:ascii="宋体" w:hAnsi="宋体"/>
                <w:szCs w:val="21"/>
              </w:rPr>
              <w:t>）℃</w:t>
            </w:r>
            <w:r>
              <w:rPr>
                <w:rFonts w:hint="eastAsia" w:ascii="等线" w:hAnsi="等线" w:eastAsia="等线"/>
                <w:szCs w:val="21"/>
              </w:rPr>
              <w:t>，</w:t>
            </w:r>
            <w:r>
              <w:rPr>
                <w:rFonts w:hint="eastAsia" w:eastAsia="等线"/>
                <w:szCs w:val="21"/>
              </w:rPr>
              <w:t>MPE</w:t>
            </w:r>
            <w:r>
              <w:rPr>
                <w:szCs w:val="21"/>
              </w:rPr>
              <w:t>：±0.</w:t>
            </w:r>
            <w:r>
              <w:rPr>
                <w:rFonts w:hint="eastAsia" w:eastAsia="等线"/>
                <w:szCs w:val="21"/>
              </w:rPr>
              <w:t>05</w:t>
            </w:r>
            <w:r>
              <w:rPr>
                <w:szCs w:val="21"/>
              </w:rPr>
              <w:t>℃</w:t>
            </w:r>
          </w:p>
        </w:tc>
        <w:tc>
          <w:tcPr>
            <w:tcW w:w="1806" w:type="dxa"/>
            <w:tcBorders>
              <w:top w:val="single" w:color="auto" w:sz="4" w:space="0"/>
              <w:left w:val="single" w:color="auto" w:sz="4" w:space="0"/>
              <w:bottom w:val="single" w:color="auto" w:sz="4" w:space="0"/>
              <w:right w:val="single" w:color="auto" w:sz="4" w:space="0"/>
            </w:tcBorders>
            <w:vAlign w:val="center"/>
          </w:tcPr>
          <w:p w14:paraId="140CC77E">
            <w:pPr>
              <w:widowControl/>
              <w:jc w:val="center"/>
              <w:rPr>
                <w:szCs w:val="21"/>
              </w:rPr>
            </w:pPr>
            <w:r>
              <w:rPr>
                <w:rFonts w:hint="eastAsia" w:ascii="等线" w:hAnsi="等线" w:eastAsia="等线"/>
                <w:szCs w:val="21"/>
              </w:rPr>
              <w:t>监控</w:t>
            </w:r>
            <w:r>
              <w:rPr>
                <w:rFonts w:hint="eastAsia"/>
              </w:rPr>
              <w:t>工况环境</w:t>
            </w:r>
          </w:p>
        </w:tc>
      </w:tr>
      <w:tr w14:paraId="1AA7B910">
        <w:tblPrEx>
          <w:tblCellMar>
            <w:top w:w="0" w:type="dxa"/>
            <w:left w:w="108" w:type="dxa"/>
            <w:bottom w:w="0" w:type="dxa"/>
            <w:right w:w="108" w:type="dxa"/>
          </w:tblCellMar>
        </w:tblPrEx>
        <w:trPr>
          <w:trHeight w:val="555" w:hRule="atLeast"/>
          <w:jc w:val="center"/>
        </w:trPr>
        <w:tc>
          <w:tcPr>
            <w:tcW w:w="702" w:type="dxa"/>
            <w:tcBorders>
              <w:top w:val="nil"/>
              <w:left w:val="single" w:color="auto" w:sz="4" w:space="0"/>
              <w:bottom w:val="single" w:color="auto" w:sz="4" w:space="0"/>
              <w:right w:val="single" w:color="auto" w:sz="4" w:space="0"/>
            </w:tcBorders>
            <w:noWrap/>
            <w:vAlign w:val="center"/>
          </w:tcPr>
          <w:p w14:paraId="4B4A8CCD">
            <w:pPr>
              <w:widowControl/>
              <w:jc w:val="center"/>
              <w:rPr>
                <w:rFonts w:eastAsia="等线"/>
                <w:szCs w:val="21"/>
              </w:rPr>
            </w:pPr>
            <w:r>
              <w:rPr>
                <w:rFonts w:hint="eastAsia" w:eastAsia="等线"/>
                <w:szCs w:val="21"/>
              </w:rPr>
              <w:t>6</w:t>
            </w:r>
          </w:p>
        </w:tc>
        <w:tc>
          <w:tcPr>
            <w:tcW w:w="1858" w:type="dxa"/>
            <w:gridSpan w:val="2"/>
            <w:tcBorders>
              <w:top w:val="nil"/>
              <w:left w:val="nil"/>
              <w:bottom w:val="single" w:color="auto" w:sz="4" w:space="0"/>
              <w:right w:val="single" w:color="auto" w:sz="4" w:space="0"/>
            </w:tcBorders>
            <w:noWrap/>
            <w:vAlign w:val="center"/>
          </w:tcPr>
          <w:p w14:paraId="06087668">
            <w:pPr>
              <w:widowControl/>
              <w:jc w:val="center"/>
              <w:rPr>
                <w:szCs w:val="21"/>
              </w:rPr>
            </w:pPr>
            <w:r>
              <w:rPr>
                <w:rFonts w:hint="eastAsia" w:eastAsia="等线"/>
                <w:szCs w:val="21"/>
              </w:rPr>
              <w:t>参考端</w:t>
            </w:r>
            <w:r>
              <w:rPr>
                <w:szCs w:val="21"/>
              </w:rPr>
              <w:t>恒温器</w:t>
            </w:r>
          </w:p>
        </w:tc>
        <w:tc>
          <w:tcPr>
            <w:tcW w:w="4694" w:type="dxa"/>
            <w:gridSpan w:val="4"/>
            <w:tcBorders>
              <w:top w:val="single" w:color="auto" w:sz="4" w:space="0"/>
              <w:left w:val="nil"/>
              <w:bottom w:val="single" w:color="auto" w:sz="4" w:space="0"/>
              <w:right w:val="single" w:color="auto" w:sz="4" w:space="0"/>
            </w:tcBorders>
            <w:vAlign w:val="center"/>
          </w:tcPr>
          <w:p w14:paraId="0DB336C5">
            <w:pPr>
              <w:jc w:val="center"/>
              <w:rPr>
                <w:szCs w:val="21"/>
              </w:rPr>
            </w:pPr>
            <w:r>
              <w:rPr>
                <w:rFonts w:hint="eastAsia" w:eastAsia="等线"/>
                <w:szCs w:val="21"/>
              </w:rPr>
              <w:t>MPE</w:t>
            </w:r>
            <w:r>
              <w:rPr>
                <w:szCs w:val="21"/>
              </w:rPr>
              <w:t>：±0.</w:t>
            </w:r>
            <w:r>
              <w:rPr>
                <w:rFonts w:hint="eastAsia" w:eastAsia="等线"/>
                <w:szCs w:val="21"/>
              </w:rPr>
              <w:t>05</w:t>
            </w:r>
            <w:r>
              <w:rPr>
                <w:szCs w:val="21"/>
              </w:rPr>
              <w:t>℃</w:t>
            </w:r>
          </w:p>
        </w:tc>
        <w:tc>
          <w:tcPr>
            <w:tcW w:w="1806" w:type="dxa"/>
            <w:tcBorders>
              <w:top w:val="nil"/>
              <w:left w:val="nil"/>
              <w:bottom w:val="single" w:color="auto" w:sz="4" w:space="0"/>
              <w:right w:val="single" w:color="auto" w:sz="4" w:space="0"/>
            </w:tcBorders>
            <w:vAlign w:val="center"/>
          </w:tcPr>
          <w:p w14:paraId="2F48E5E1">
            <w:pPr>
              <w:widowControl/>
              <w:jc w:val="center"/>
              <w:rPr>
                <w:szCs w:val="21"/>
              </w:rPr>
            </w:pPr>
            <w:r>
              <w:rPr>
                <w:szCs w:val="21"/>
              </w:rPr>
              <w:t>为标准铂铑10-铂热热电偶参考端提供0℃恒温场。</w:t>
            </w:r>
          </w:p>
        </w:tc>
      </w:tr>
      <w:tr w14:paraId="276F76C6">
        <w:tblPrEx>
          <w:tblCellMar>
            <w:top w:w="0" w:type="dxa"/>
            <w:left w:w="108" w:type="dxa"/>
            <w:bottom w:w="0" w:type="dxa"/>
            <w:right w:w="108" w:type="dxa"/>
          </w:tblCellMar>
        </w:tblPrEx>
        <w:trPr>
          <w:trHeight w:val="581" w:hRule="atLeast"/>
          <w:jc w:val="center"/>
        </w:trPr>
        <w:tc>
          <w:tcPr>
            <w:tcW w:w="702" w:type="dxa"/>
            <w:tcBorders>
              <w:top w:val="single" w:color="auto" w:sz="4" w:space="0"/>
              <w:left w:val="single" w:color="auto" w:sz="4" w:space="0"/>
              <w:bottom w:val="single" w:color="auto" w:sz="4" w:space="0"/>
              <w:right w:val="single" w:color="auto" w:sz="4" w:space="0"/>
            </w:tcBorders>
            <w:noWrap/>
            <w:vAlign w:val="center"/>
          </w:tcPr>
          <w:p w14:paraId="2F7369DD">
            <w:pPr>
              <w:widowControl/>
              <w:jc w:val="center"/>
              <w:rPr>
                <w:rFonts w:eastAsia="等线"/>
                <w:szCs w:val="21"/>
              </w:rPr>
            </w:pPr>
            <w:r>
              <w:rPr>
                <w:rFonts w:hint="eastAsia" w:eastAsia="等线"/>
                <w:szCs w:val="21"/>
              </w:rPr>
              <w:t>7</w:t>
            </w:r>
          </w:p>
        </w:tc>
        <w:tc>
          <w:tcPr>
            <w:tcW w:w="1858" w:type="dxa"/>
            <w:gridSpan w:val="2"/>
            <w:tcBorders>
              <w:top w:val="single" w:color="auto" w:sz="4" w:space="0"/>
              <w:left w:val="nil"/>
              <w:bottom w:val="single" w:color="auto" w:sz="4" w:space="0"/>
              <w:right w:val="single" w:color="auto" w:sz="4" w:space="0"/>
            </w:tcBorders>
            <w:noWrap/>
            <w:vAlign w:val="center"/>
          </w:tcPr>
          <w:p w14:paraId="79B10EF6">
            <w:pPr>
              <w:widowControl/>
              <w:jc w:val="center"/>
              <w:rPr>
                <w:szCs w:val="21"/>
              </w:rPr>
            </w:pPr>
            <w:r>
              <w:rPr>
                <w:szCs w:val="21"/>
              </w:rPr>
              <w:t>水三相点瓶</w:t>
            </w:r>
          </w:p>
        </w:tc>
        <w:tc>
          <w:tcPr>
            <w:tcW w:w="4694" w:type="dxa"/>
            <w:gridSpan w:val="4"/>
            <w:tcBorders>
              <w:top w:val="single" w:color="auto" w:sz="4" w:space="0"/>
              <w:left w:val="nil"/>
              <w:bottom w:val="single" w:color="auto" w:sz="4" w:space="0"/>
              <w:right w:val="single" w:color="auto" w:sz="4" w:space="0"/>
            </w:tcBorders>
            <w:vAlign w:val="center"/>
          </w:tcPr>
          <w:p w14:paraId="1897DEBE">
            <w:pPr>
              <w:jc w:val="center"/>
              <w:rPr>
                <w:szCs w:val="21"/>
              </w:rPr>
            </w:pPr>
            <w:r>
              <w:rPr>
                <w:szCs w:val="21"/>
              </w:rPr>
              <w:t>扩展不确定度优于0.001℃，</w:t>
            </w:r>
            <w:r>
              <w:rPr>
                <w:i/>
                <w:iCs/>
                <w:szCs w:val="21"/>
              </w:rPr>
              <w:t>k</w:t>
            </w:r>
            <w:r>
              <w:rPr>
                <w:szCs w:val="21"/>
              </w:rPr>
              <w:t>=2</w:t>
            </w:r>
          </w:p>
        </w:tc>
        <w:tc>
          <w:tcPr>
            <w:tcW w:w="1806" w:type="dxa"/>
            <w:tcBorders>
              <w:top w:val="single" w:color="auto" w:sz="4" w:space="0"/>
              <w:left w:val="nil"/>
              <w:bottom w:val="single" w:color="auto" w:sz="4" w:space="0"/>
              <w:right w:val="single" w:color="auto" w:sz="4" w:space="0"/>
            </w:tcBorders>
            <w:vAlign w:val="center"/>
          </w:tcPr>
          <w:p w14:paraId="1548DDBE">
            <w:pPr>
              <w:widowControl/>
              <w:jc w:val="center"/>
              <w:rPr>
                <w:szCs w:val="21"/>
              </w:rPr>
            </w:pPr>
            <w:r>
              <w:rPr>
                <w:szCs w:val="21"/>
              </w:rPr>
              <w:t>测量标准铂电阻温度计</w:t>
            </w:r>
            <w:r>
              <w:rPr>
                <w:i/>
                <w:iCs/>
                <w:szCs w:val="21"/>
              </w:rPr>
              <w:t>R</w:t>
            </w:r>
            <w:r>
              <w:rPr>
                <w:szCs w:val="21"/>
                <w:vertAlign w:val="subscript"/>
              </w:rPr>
              <w:t>tp</w:t>
            </w:r>
            <w:r>
              <w:rPr>
                <w:szCs w:val="21"/>
              </w:rPr>
              <w:t>值。</w:t>
            </w:r>
          </w:p>
        </w:tc>
      </w:tr>
      <w:tr w14:paraId="422D01B2">
        <w:tblPrEx>
          <w:tblCellMar>
            <w:top w:w="0" w:type="dxa"/>
            <w:left w:w="108" w:type="dxa"/>
            <w:bottom w:w="0" w:type="dxa"/>
            <w:right w:w="108" w:type="dxa"/>
          </w:tblCellMar>
        </w:tblPrEx>
        <w:trPr>
          <w:trHeight w:val="581" w:hRule="atLeast"/>
          <w:jc w:val="center"/>
        </w:trPr>
        <w:tc>
          <w:tcPr>
            <w:tcW w:w="702" w:type="dxa"/>
            <w:tcBorders>
              <w:top w:val="single" w:color="auto" w:sz="4" w:space="0"/>
              <w:left w:val="single" w:color="auto" w:sz="4" w:space="0"/>
              <w:bottom w:val="single" w:color="auto" w:sz="4" w:space="0"/>
              <w:right w:val="single" w:color="auto" w:sz="4" w:space="0"/>
            </w:tcBorders>
            <w:noWrap/>
            <w:vAlign w:val="center"/>
          </w:tcPr>
          <w:p w14:paraId="7A2C5EF8">
            <w:pPr>
              <w:widowControl/>
              <w:jc w:val="center"/>
              <w:rPr>
                <w:rFonts w:eastAsia="等线"/>
                <w:szCs w:val="21"/>
              </w:rPr>
            </w:pPr>
            <w:r>
              <w:rPr>
                <w:rFonts w:hint="eastAsia" w:eastAsia="等线"/>
                <w:szCs w:val="21"/>
              </w:rPr>
              <w:t>8</w:t>
            </w:r>
          </w:p>
        </w:tc>
        <w:tc>
          <w:tcPr>
            <w:tcW w:w="1858" w:type="dxa"/>
            <w:gridSpan w:val="2"/>
            <w:tcBorders>
              <w:top w:val="single" w:color="auto" w:sz="4" w:space="0"/>
              <w:left w:val="nil"/>
              <w:bottom w:val="single" w:color="auto" w:sz="4" w:space="0"/>
              <w:right w:val="single" w:color="auto" w:sz="4" w:space="0"/>
            </w:tcBorders>
            <w:noWrap/>
            <w:vAlign w:val="center"/>
          </w:tcPr>
          <w:p w14:paraId="13445685">
            <w:pPr>
              <w:widowControl/>
              <w:jc w:val="center"/>
              <w:rPr>
                <w:szCs w:val="21"/>
              </w:rPr>
            </w:pPr>
            <w:r>
              <w:rPr>
                <w:rFonts w:hint="eastAsia" w:ascii="等线" w:hAnsi="等线" w:eastAsia="等线"/>
                <w:szCs w:val="21"/>
              </w:rPr>
              <w:t>计时器</w:t>
            </w:r>
          </w:p>
        </w:tc>
        <w:tc>
          <w:tcPr>
            <w:tcW w:w="4694" w:type="dxa"/>
            <w:gridSpan w:val="4"/>
            <w:tcBorders>
              <w:top w:val="single" w:color="auto" w:sz="4" w:space="0"/>
              <w:left w:val="nil"/>
              <w:bottom w:val="single" w:color="auto" w:sz="4" w:space="0"/>
              <w:right w:val="single" w:color="auto" w:sz="4" w:space="0"/>
            </w:tcBorders>
            <w:vAlign w:val="center"/>
          </w:tcPr>
          <w:p w14:paraId="3FB7DAB3">
            <w:pPr>
              <w:jc w:val="center"/>
              <w:rPr>
                <w:rFonts w:eastAsia="等线"/>
                <w:szCs w:val="21"/>
              </w:rPr>
            </w:pPr>
            <w:r>
              <w:rPr>
                <w:rFonts w:hint="eastAsia" w:eastAsia="等线"/>
                <w:szCs w:val="21"/>
              </w:rPr>
              <w:t>MPE:</w:t>
            </w:r>
            <w:r>
              <w:rPr>
                <w:szCs w:val="21"/>
              </w:rPr>
              <w:t xml:space="preserve"> ±0.</w:t>
            </w:r>
            <w:r>
              <w:rPr>
                <w:rFonts w:hint="eastAsia" w:eastAsia="等线"/>
                <w:szCs w:val="21"/>
              </w:rPr>
              <w:t>5s/d</w:t>
            </w:r>
          </w:p>
        </w:tc>
        <w:tc>
          <w:tcPr>
            <w:tcW w:w="1806" w:type="dxa"/>
            <w:tcBorders>
              <w:top w:val="single" w:color="auto" w:sz="4" w:space="0"/>
              <w:left w:val="nil"/>
              <w:bottom w:val="single" w:color="auto" w:sz="4" w:space="0"/>
              <w:right w:val="single" w:color="auto" w:sz="4" w:space="0"/>
            </w:tcBorders>
            <w:vAlign w:val="center"/>
          </w:tcPr>
          <w:p w14:paraId="0B4DC937">
            <w:pPr>
              <w:widowControl/>
              <w:jc w:val="center"/>
              <w:rPr>
                <w:szCs w:val="21"/>
              </w:rPr>
            </w:pPr>
            <w:r>
              <w:rPr>
                <w:rFonts w:hint="eastAsia" w:ascii="等线" w:hAnsi="等线" w:eastAsia="等线"/>
                <w:szCs w:val="21"/>
              </w:rPr>
              <w:t>测量标准器的时间间隔</w:t>
            </w:r>
          </w:p>
        </w:tc>
      </w:tr>
    </w:tbl>
    <w:p w14:paraId="2E678F06">
      <w:pPr>
        <w:spacing w:line="312" w:lineRule="auto"/>
        <w:ind w:left="480"/>
        <w:jc w:val="center"/>
        <w:rPr>
          <w:szCs w:val="21"/>
        </w:rPr>
      </w:pPr>
    </w:p>
    <w:p w14:paraId="78E4D4F5">
      <w:pPr>
        <w:spacing w:line="312" w:lineRule="auto"/>
        <w:jc w:val="left"/>
        <w:rPr>
          <w:rFonts w:eastAsia="黑体"/>
          <w:b/>
          <w:sz w:val="24"/>
        </w:rPr>
      </w:pPr>
      <w:r>
        <w:rPr>
          <w:rFonts w:eastAsia="黑体"/>
          <w:sz w:val="24"/>
        </w:rPr>
        <w:t>7校准项目和校准方法</w:t>
      </w:r>
      <w:bookmarkEnd w:id="12"/>
    </w:p>
    <w:p w14:paraId="7DCAA566">
      <w:pPr>
        <w:pStyle w:val="4"/>
        <w:spacing w:before="120" w:after="120" w:line="240" w:lineRule="auto"/>
        <w:rPr>
          <w:rFonts w:eastAsiaTheme="minorEastAsia"/>
          <w:b w:val="0"/>
          <w:sz w:val="24"/>
          <w:szCs w:val="24"/>
        </w:rPr>
      </w:pPr>
      <w:bookmarkStart w:id="13" w:name="_Toc192517512"/>
      <w:r>
        <w:rPr>
          <w:rFonts w:eastAsiaTheme="minorEastAsia"/>
          <w:b w:val="0"/>
          <w:sz w:val="24"/>
          <w:szCs w:val="24"/>
        </w:rPr>
        <w:t>7.1 校准项目</w:t>
      </w:r>
      <w:bookmarkEnd w:id="13"/>
    </w:p>
    <w:p w14:paraId="6238378F">
      <w:pPr>
        <w:snapToGrid w:val="0"/>
        <w:spacing w:line="440" w:lineRule="exact"/>
        <w:ind w:firstLine="464" w:firstLineChars="200"/>
        <w:rPr>
          <w:spacing w:val="-4"/>
          <w:sz w:val="24"/>
        </w:rPr>
      </w:pPr>
      <w:r>
        <w:rPr>
          <w:spacing w:val="-4"/>
          <w:sz w:val="24"/>
        </w:rPr>
        <w:t>炉温跟踪仪的校准项目为温度示值误差、</w:t>
      </w:r>
      <w:r>
        <w:rPr>
          <w:rFonts w:hint="eastAsia"/>
          <w:spacing w:val="-4"/>
          <w:sz w:val="24"/>
        </w:rPr>
        <w:t>温度示值一致性</w:t>
      </w:r>
      <w:r>
        <w:rPr>
          <w:spacing w:val="-4"/>
          <w:sz w:val="24"/>
        </w:rPr>
        <w:t>。</w:t>
      </w:r>
    </w:p>
    <w:p w14:paraId="21B84C62">
      <w:pPr>
        <w:pStyle w:val="4"/>
        <w:spacing w:before="120" w:after="120" w:line="240" w:lineRule="auto"/>
        <w:rPr>
          <w:rFonts w:eastAsiaTheme="minorEastAsia"/>
          <w:b w:val="0"/>
          <w:sz w:val="24"/>
          <w:szCs w:val="24"/>
        </w:rPr>
      </w:pPr>
      <w:bookmarkStart w:id="14" w:name="_Toc192517513"/>
      <w:r>
        <w:rPr>
          <w:rFonts w:eastAsiaTheme="minorEastAsia"/>
          <w:b w:val="0"/>
          <w:sz w:val="24"/>
          <w:szCs w:val="24"/>
        </w:rPr>
        <w:t>7.2校准前检查</w:t>
      </w:r>
      <w:bookmarkEnd w:id="14"/>
    </w:p>
    <w:p w14:paraId="72223A9D">
      <w:pPr>
        <w:snapToGrid w:val="0"/>
        <w:spacing w:line="440" w:lineRule="exact"/>
        <w:ind w:firstLine="464" w:firstLineChars="200"/>
        <w:rPr>
          <w:spacing w:val="-4"/>
          <w:sz w:val="24"/>
        </w:rPr>
      </w:pPr>
      <w:r>
        <w:rPr>
          <w:spacing w:val="-4"/>
          <w:sz w:val="24"/>
        </w:rPr>
        <w:t>按照炉温跟踪仪的操作说明，连接炉温跟踪仪和PC机，运行相应软件，检查炉温跟踪仪是否能够正常设置、启动、停止，按照设置的测量时间和测量间隔记录测量数据。</w:t>
      </w:r>
    </w:p>
    <w:p w14:paraId="1D9A7381">
      <w:pPr>
        <w:pStyle w:val="4"/>
        <w:spacing w:before="120" w:after="120" w:line="240" w:lineRule="auto"/>
        <w:rPr>
          <w:rFonts w:eastAsiaTheme="minorEastAsia"/>
          <w:b w:val="0"/>
          <w:sz w:val="24"/>
          <w:szCs w:val="24"/>
        </w:rPr>
      </w:pPr>
      <w:bookmarkStart w:id="15" w:name="_Toc192517514"/>
      <w:r>
        <w:rPr>
          <w:rFonts w:eastAsiaTheme="minorEastAsia"/>
          <w:b w:val="0"/>
          <w:sz w:val="24"/>
          <w:szCs w:val="24"/>
        </w:rPr>
        <w:t>7.</w:t>
      </w:r>
      <w:r>
        <w:rPr>
          <w:rFonts w:hint="eastAsia" w:eastAsiaTheme="minorEastAsia"/>
          <w:b w:val="0"/>
          <w:sz w:val="24"/>
          <w:szCs w:val="24"/>
        </w:rPr>
        <w:t>3</w:t>
      </w:r>
      <w:r>
        <w:rPr>
          <w:rFonts w:eastAsiaTheme="minorEastAsia"/>
          <w:b w:val="0"/>
          <w:sz w:val="24"/>
          <w:szCs w:val="24"/>
        </w:rPr>
        <w:t>校准方法</w:t>
      </w:r>
      <w:bookmarkEnd w:id="15"/>
    </w:p>
    <w:p w14:paraId="494DCAD8">
      <w:pPr>
        <w:spacing w:line="420" w:lineRule="exact"/>
        <w:rPr>
          <w:sz w:val="24"/>
        </w:rPr>
      </w:pPr>
      <w:r>
        <w:rPr>
          <w:sz w:val="24"/>
        </w:rPr>
        <w:t>7.</w:t>
      </w:r>
      <w:r>
        <w:rPr>
          <w:rFonts w:hint="eastAsia"/>
          <w:sz w:val="24"/>
        </w:rPr>
        <w:t>3</w:t>
      </w:r>
      <w:r>
        <w:rPr>
          <w:sz w:val="24"/>
        </w:rPr>
        <w:t>.1校准点的</w:t>
      </w:r>
      <w:r>
        <w:rPr>
          <w:rFonts w:hint="eastAsia"/>
          <w:sz w:val="24"/>
        </w:rPr>
        <w:t>选择</w:t>
      </w:r>
    </w:p>
    <w:p w14:paraId="486B9609">
      <w:pPr>
        <w:snapToGrid w:val="0"/>
        <w:spacing w:line="440" w:lineRule="exact"/>
        <w:ind w:firstLine="464" w:firstLineChars="200"/>
        <w:rPr>
          <w:spacing w:val="-4"/>
          <w:sz w:val="24"/>
        </w:rPr>
      </w:pPr>
      <w:r>
        <w:rPr>
          <w:spacing w:val="-4"/>
          <w:sz w:val="24"/>
        </w:rPr>
        <w:t>炉温跟踪仪校准温度点选择包括上限、下限温度点在内的均匀分布于测量范围内的5个校准点，也可以根据用户需求选择校准温度点。</w:t>
      </w:r>
    </w:p>
    <w:p w14:paraId="6267C1BE">
      <w:pPr>
        <w:snapToGrid w:val="0"/>
        <w:spacing w:line="440" w:lineRule="exact"/>
        <w:ind w:firstLine="464" w:firstLineChars="200"/>
        <w:rPr>
          <w:spacing w:val="-4"/>
          <w:sz w:val="24"/>
        </w:rPr>
      </w:pPr>
      <w:r>
        <w:rPr>
          <w:spacing w:val="-4"/>
          <w:sz w:val="24"/>
        </w:rPr>
        <w:t>恒温箱设定的工况温度一般选择包括炉温跟踪仪工况温度上、下限温度在内的三个温度点，也可以根据用户需求选择工况温度点</w:t>
      </w:r>
    </w:p>
    <w:p w14:paraId="41807422">
      <w:pPr>
        <w:spacing w:line="420" w:lineRule="exact"/>
        <w:rPr>
          <w:sz w:val="24"/>
        </w:rPr>
      </w:pPr>
      <w:r>
        <w:rPr>
          <w:sz w:val="24"/>
        </w:rPr>
        <w:t>7.</w:t>
      </w:r>
      <w:r>
        <w:rPr>
          <w:rFonts w:hint="eastAsia"/>
          <w:sz w:val="24"/>
        </w:rPr>
        <w:t>3</w:t>
      </w:r>
      <w:r>
        <w:rPr>
          <w:sz w:val="24"/>
        </w:rPr>
        <w:t>.2 校准准备工作</w:t>
      </w:r>
    </w:p>
    <w:p w14:paraId="77F41B95">
      <w:pPr>
        <w:spacing w:line="440" w:lineRule="exact"/>
        <w:ind w:firstLine="468"/>
        <w:rPr>
          <w:sz w:val="24"/>
        </w:rPr>
      </w:pPr>
      <w:r>
        <w:rPr>
          <w:sz w:val="24"/>
        </w:rPr>
        <w:t>根据炉温跟踪仪温度传感器的测温范围，选择相应的测量标准和配套设备。配置铂电阻传感器的炉温跟踪仪，使用标准铂电阻温度计作测量标准；校准前将标准铂电阻温度计放入冻制好的水三相点瓶中测量其</w:t>
      </w:r>
      <w:r>
        <w:rPr>
          <w:i/>
          <w:sz w:val="24"/>
        </w:rPr>
        <w:t>R</w:t>
      </w:r>
      <w:r>
        <w:rPr>
          <w:sz w:val="24"/>
          <w:vertAlign w:val="subscript"/>
        </w:rPr>
        <w:t>tp</w:t>
      </w:r>
      <w:r>
        <w:rPr>
          <w:sz w:val="24"/>
        </w:rPr>
        <w:t>值，以此计算标准温度值。配置热电偶传感器的炉温跟踪仪，使用标准铂铑10-铂热电偶作测量标准。</w:t>
      </w:r>
    </w:p>
    <w:p w14:paraId="6AD31E29">
      <w:pPr>
        <w:spacing w:line="440" w:lineRule="exact"/>
        <w:ind w:firstLine="468"/>
        <w:rPr>
          <w:sz w:val="24"/>
        </w:rPr>
      </w:pPr>
      <w:r>
        <w:rPr>
          <w:sz w:val="24"/>
        </w:rPr>
        <w:t>a）开启炉温跟踪仪电源，设置（或使用默认设定）并记录数据采集周期，并将炉温跟踪仪</w:t>
      </w:r>
      <w:r>
        <w:rPr>
          <w:rFonts w:hint="eastAsia"/>
          <w:sz w:val="24"/>
        </w:rPr>
        <w:t>（不含隔热盒）</w:t>
      </w:r>
      <w:r>
        <w:rPr>
          <w:sz w:val="24"/>
        </w:rPr>
        <w:t>放置入恒温箱内，恒温箱移至恒温槽或检定炉旁，并将测温传感器通过测试孔外接，将传感器测量端放置在恒温槽或检定炉内（如炉温跟踪仪传感器通道数量较多可分批次进行校准），并将测试孔用隔热材料塞紧。</w:t>
      </w:r>
      <w:r>
        <w:rPr>
          <w:rFonts w:hint="eastAsia"/>
          <w:sz w:val="24"/>
        </w:rPr>
        <w:t>将高精度铂电阻温度计放入</w:t>
      </w:r>
      <w:r>
        <w:rPr>
          <w:sz w:val="24"/>
        </w:rPr>
        <w:t>在恒温箱内</w:t>
      </w:r>
      <w:r>
        <w:rPr>
          <w:rFonts w:hint="eastAsia"/>
          <w:sz w:val="24"/>
        </w:rPr>
        <w:t>中心点</w:t>
      </w:r>
      <w:r>
        <w:rPr>
          <w:sz w:val="24"/>
        </w:rPr>
        <w:t>，对恒温箱温度场进行监测。</w:t>
      </w:r>
    </w:p>
    <w:p w14:paraId="4038EEA0">
      <w:pPr>
        <w:spacing w:line="440" w:lineRule="exact"/>
        <w:ind w:firstLine="468"/>
        <w:rPr>
          <w:sz w:val="24"/>
        </w:rPr>
      </w:pPr>
      <w:r>
        <w:rPr>
          <w:sz w:val="24"/>
        </w:rPr>
        <w:t>b）在恒温槽中校准时，封装良好的温度传感器可直接插入恒温槽中。若温度传感器不能直接接触槽内介质，可将其放置在内径与传感器直径相适应的玻璃试管中，并在管内放入适当导热介质（可与恒温槽介质相同），介质高度约为温度传感器探头长度的2/3。为消除玻璃试管内的空气对流，管口应用脱脂棉塞紧。传感器插入深度应不小于200 mm，测量标准与炉温跟踪仪温度传感器的测温端尽可能处于恒温槽工作区域内的同一水平面上。</w:t>
      </w:r>
    </w:p>
    <w:p w14:paraId="632740F9">
      <w:pPr>
        <w:spacing w:line="440" w:lineRule="exact"/>
        <w:ind w:firstLine="468"/>
        <w:rPr>
          <w:sz w:val="24"/>
        </w:rPr>
      </w:pPr>
      <w:r>
        <w:rPr>
          <w:sz w:val="24"/>
        </w:rPr>
        <w:t>c）在检定炉中校准时，应将标准铂铑10-铂热电偶套上高铝保护管，与炉温跟踪仪温度传感器一并插至均温块底部，炉口处用绝缘耐火材料封堵。标准铂铑10-铂热电偶的参考端连接参照JJF1262-2010中6.2.2.2的规定。</w:t>
      </w:r>
    </w:p>
    <w:p w14:paraId="73F469EB">
      <w:pPr>
        <w:spacing w:line="440" w:lineRule="exact"/>
        <w:rPr>
          <w:sz w:val="24"/>
        </w:rPr>
      </w:pPr>
      <w:r>
        <w:rPr>
          <w:sz w:val="24"/>
        </w:rPr>
        <w:t>7.</w:t>
      </w:r>
      <w:r>
        <w:rPr>
          <w:rFonts w:hint="eastAsia"/>
          <w:sz w:val="24"/>
        </w:rPr>
        <w:t>3</w:t>
      </w:r>
      <w:r>
        <w:rPr>
          <w:sz w:val="24"/>
        </w:rPr>
        <w:t>.3 校准流程</w:t>
      </w:r>
    </w:p>
    <w:p w14:paraId="029057EF">
      <w:pPr>
        <w:spacing w:line="440" w:lineRule="exact"/>
        <w:ind w:firstLine="468"/>
        <w:rPr>
          <w:sz w:val="24"/>
        </w:rPr>
      </w:pPr>
      <w:r>
        <w:rPr>
          <w:sz w:val="24"/>
        </w:rPr>
        <w:t>a）设定恒温箱温度至工况温度，恒温箱显示温度达到设置温度后至少恒温30min；使用温度炉温跟踪仪监测恒温箱的温度偏差、温度波动度、温度均匀度，达到要求表2中对恒温箱的技术要求后方可开始校准，否则应对恒温箱的温度进行调整。</w:t>
      </w:r>
    </w:p>
    <w:p w14:paraId="768A0D2A">
      <w:pPr>
        <w:spacing w:line="440" w:lineRule="exact"/>
        <w:ind w:firstLine="468"/>
        <w:rPr>
          <w:sz w:val="24"/>
        </w:rPr>
      </w:pPr>
      <w:r>
        <w:rPr>
          <w:sz w:val="24"/>
        </w:rPr>
        <w:t>b）在恒温槽中校准时，应按照从低温到高温的顺序，逐点进行校准。将恒温设备的温度恒定在各校准温度点上，温度偏离校准点在±0.2℃以内（以测量标准示值为准），恒温槽温度波动不超过0.02℃/10 min，稳定时间不小于10 min后开始计算采集时间，至少记录4次。</w:t>
      </w:r>
    </w:p>
    <w:p w14:paraId="2927FDF2">
      <w:pPr>
        <w:spacing w:line="440" w:lineRule="exact"/>
        <w:ind w:firstLine="468"/>
        <w:rPr>
          <w:sz w:val="24"/>
        </w:rPr>
      </w:pPr>
      <w:r>
        <w:rPr>
          <w:sz w:val="24"/>
        </w:rPr>
        <w:t>c）在检定炉中校准时，应按照从低温到高温的顺序逐点进行校准。当测量标准示值偏离校准点±5℃以内，</w:t>
      </w:r>
      <w:bookmarkStart w:id="16" w:name="OLE_LINK5"/>
      <w:r>
        <w:rPr>
          <w:sz w:val="24"/>
        </w:rPr>
        <w:t>温度变化每分钟不超过0.2℃时，稳定时间不小于10 min后开始开始计算采集时间，至少记录4次。</w:t>
      </w:r>
    </w:p>
    <w:bookmarkEnd w:id="16"/>
    <w:p w14:paraId="7E45F6DD">
      <w:pPr>
        <w:spacing w:line="440" w:lineRule="exact"/>
        <w:ind w:firstLine="468"/>
        <w:rPr>
          <w:sz w:val="24"/>
        </w:rPr>
      </w:pPr>
      <w:r>
        <w:rPr>
          <w:sz w:val="24"/>
        </w:rPr>
        <w:t>在炉温跟踪仪采集数据时，读取并记录测量标准示值，按照炉温跟踪仪设置的测量间隔连续读取4次；待该校准温度点读数结束后，设置恒温槽或检定炉至下一个校准温度，待到达设定温度进入稳定状态后，再次进行读数，直至该工况温度下全部校准点完成校准；设置恒温箱至下一个工况温度，待稳定后重复上述校准流程，直至全部工况温度都校准结束。</w:t>
      </w:r>
    </w:p>
    <w:p w14:paraId="5D1C8733">
      <w:pPr>
        <w:spacing w:line="420" w:lineRule="exact"/>
        <w:rPr>
          <w:sz w:val="24"/>
        </w:rPr>
      </w:pPr>
      <w:r>
        <w:rPr>
          <w:sz w:val="24"/>
        </w:rPr>
        <w:t>7.</w:t>
      </w:r>
      <w:r>
        <w:rPr>
          <w:rFonts w:hint="eastAsia"/>
          <w:sz w:val="24"/>
        </w:rPr>
        <w:t>3</w:t>
      </w:r>
      <w:r>
        <w:rPr>
          <w:sz w:val="24"/>
        </w:rPr>
        <w:t>.4数据处理</w:t>
      </w:r>
    </w:p>
    <w:p w14:paraId="2A7BA6BD">
      <w:pPr>
        <w:spacing w:line="420" w:lineRule="exact"/>
        <w:rPr>
          <w:sz w:val="24"/>
        </w:rPr>
      </w:pPr>
      <w:r>
        <w:rPr>
          <w:sz w:val="24"/>
        </w:rPr>
        <w:t>7.</w:t>
      </w:r>
      <w:r>
        <w:rPr>
          <w:rFonts w:hint="eastAsia"/>
          <w:sz w:val="24"/>
        </w:rPr>
        <w:t>3</w:t>
      </w:r>
      <w:r>
        <w:rPr>
          <w:sz w:val="24"/>
        </w:rPr>
        <w:t>.4.1示值误差</w:t>
      </w:r>
    </w:p>
    <w:p w14:paraId="64B87A1F">
      <w:pPr>
        <w:spacing w:line="420" w:lineRule="exact"/>
        <w:ind w:firstLine="480" w:firstLineChars="200"/>
        <w:rPr>
          <w:sz w:val="24"/>
        </w:rPr>
      </w:pPr>
      <w:r>
        <w:rPr>
          <w:sz w:val="24"/>
        </w:rPr>
        <w:t>取各通道读数的平均值与实际温度的差值计算该工况温度下该校准点的温度示值误差。</w:t>
      </w:r>
    </w:p>
    <w:p w14:paraId="1431F2D2">
      <w:pPr>
        <w:pStyle w:val="142"/>
        <w:spacing w:line="420" w:lineRule="exact"/>
      </w:pPr>
      <w:r>
        <w:rPr>
          <w:rFonts w:hint="eastAsia"/>
          <w:position w:val="-12"/>
        </w:rPr>
        <w:t xml:space="preserve">                                       </w:t>
      </w:r>
      <w:r>
        <w:rPr>
          <w:position w:val="-12"/>
        </w:rPr>
        <w:object>
          <v:shape id="_x0000_i1025" o:spt="75" type="#_x0000_t75" style="height:18pt;width:54.75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rPr>
          <w:rFonts w:hint="eastAsia"/>
          <w:position w:val="-12"/>
        </w:rPr>
        <w:t xml:space="preserve">                             </w:t>
      </w:r>
      <w:r>
        <w:rPr>
          <w:sz w:val="24"/>
        </w:rPr>
        <w:t>（1）</w:t>
      </w:r>
    </w:p>
    <w:p w14:paraId="5B3D29EB">
      <w:pPr>
        <w:pStyle w:val="142"/>
        <w:spacing w:line="420" w:lineRule="exact"/>
        <w:jc w:val="both"/>
        <w:rPr>
          <w:sz w:val="24"/>
        </w:rPr>
      </w:pPr>
      <w:r>
        <w:rPr>
          <w:sz w:val="24"/>
        </w:rPr>
        <w:t>式中：</w:t>
      </w:r>
    </w:p>
    <w:p w14:paraId="547E0F16">
      <w:pPr>
        <w:pStyle w:val="142"/>
        <w:spacing w:line="420" w:lineRule="exact"/>
        <w:jc w:val="both"/>
        <w:rPr>
          <w:sz w:val="24"/>
        </w:rPr>
      </w:pPr>
      <w:r>
        <w:rPr>
          <w:position w:val="-12"/>
        </w:rPr>
        <w:object>
          <v:shape id="_x0000_i1026" o:spt="75" type="#_x0000_t75" style="height:18pt;width:16.5pt;" o:ole="t" filled="f" o:preferrelative="t" stroked="f" coordsize="21600,21600">
            <v:path/>
            <v:fill on="f" focussize="0,0"/>
            <v:stroke on="f" joinstyle="miter"/>
            <v:imagedata r:id="rId14" o:title=""/>
            <o:lock v:ext="edit" aspectratio="t"/>
            <w10:wrap type="none"/>
            <w10:anchorlock/>
          </v:shape>
          <o:OLEObject Type="Embed" ProgID="Equation.DSMT4" ShapeID="_x0000_i1026" DrawAspect="Content" ObjectID="_1468075726" r:id="rId13">
            <o:LockedField>false</o:LockedField>
          </o:OLEObject>
        </w:object>
      </w:r>
      <w:r>
        <w:rPr>
          <w:sz w:val="24"/>
        </w:rPr>
        <w:t>——在某工况温度某温度校准点上，炉温跟踪仪第</w:t>
      </w:r>
      <w:r>
        <w:rPr>
          <w:i/>
          <w:sz w:val="24"/>
        </w:rPr>
        <w:t>i</w:t>
      </w:r>
      <w:r>
        <w:rPr>
          <w:sz w:val="24"/>
        </w:rPr>
        <w:t>通道的温度示值误差，℃；</w:t>
      </w:r>
    </w:p>
    <w:p w14:paraId="03159C5B">
      <w:pPr>
        <w:pStyle w:val="142"/>
        <w:spacing w:line="420" w:lineRule="exact"/>
        <w:jc w:val="both"/>
        <w:rPr>
          <w:sz w:val="24"/>
        </w:rPr>
      </w:pPr>
      <w:r>
        <w:rPr>
          <w:position w:val="-12"/>
        </w:rPr>
        <w:object>
          <v:shape id="_x0000_i1027" o:spt="75" type="#_x0000_t75" style="height:18pt;width:10.5pt;" o:ole="t" filled="f" o:preferrelative="t" stroked="f" coordsize="21600,21600">
            <v:path/>
            <v:fill on="f" focussize="0,0"/>
            <v:stroke on="f" joinstyle="miter"/>
            <v:imagedata r:id="rId16" o:title=""/>
            <o:lock v:ext="edit" aspectratio="t"/>
            <w10:wrap type="none"/>
            <w10:anchorlock/>
          </v:shape>
          <o:OLEObject Type="Embed" ProgID="Equation.DSMT4" ShapeID="_x0000_i1027" DrawAspect="Content" ObjectID="_1468075727" r:id="rId15">
            <o:LockedField>false</o:LockedField>
          </o:OLEObject>
        </w:object>
      </w:r>
      <w:r>
        <w:rPr>
          <w:sz w:val="24"/>
        </w:rPr>
        <w:t>——在某工况温度某温度校准点上，炉温跟踪仪第</w:t>
      </w:r>
      <w:r>
        <w:rPr>
          <w:i/>
          <w:sz w:val="24"/>
        </w:rPr>
        <w:t>i</w:t>
      </w:r>
      <w:r>
        <w:rPr>
          <w:sz w:val="24"/>
        </w:rPr>
        <w:t>通道4次读数的平均值，℃；</w:t>
      </w:r>
    </w:p>
    <w:p w14:paraId="6F1C0EF8">
      <w:pPr>
        <w:spacing w:line="420" w:lineRule="exact"/>
        <w:rPr>
          <w:sz w:val="24"/>
        </w:rPr>
      </w:pPr>
      <w:r>
        <w:rPr>
          <w:position w:val="-12"/>
        </w:rPr>
        <w:object>
          <v:shape id="_x0000_i1028" o:spt="75" type="#_x0000_t75" style="height:18pt;width:10.5pt;" o:ole="t" filled="f" o:preferrelative="t" stroked="f" coordsize="21600,21600">
            <v:path/>
            <v:fill on="f" focussize="0,0"/>
            <v:stroke on="f" joinstyle="miter"/>
            <v:imagedata r:id="rId18" o:title=""/>
            <o:lock v:ext="edit" aspectratio="t"/>
            <w10:wrap type="none"/>
            <w10:anchorlock/>
          </v:shape>
          <o:OLEObject Type="Embed" ProgID="Equation.DSMT4" ShapeID="_x0000_i1028" DrawAspect="Content" ObjectID="_1468075728" r:id="rId17">
            <o:LockedField>false</o:LockedField>
          </o:OLEObject>
        </w:object>
      </w:r>
      <w:r>
        <w:rPr>
          <w:sz w:val="24"/>
        </w:rPr>
        <w:t>——在某工况温度某温度校准点上，标准实际值，℃；</w:t>
      </w:r>
    </w:p>
    <w:p w14:paraId="22773DFA">
      <w:pPr>
        <w:spacing w:line="420" w:lineRule="exact"/>
        <w:rPr>
          <w:sz w:val="24"/>
        </w:rPr>
      </w:pPr>
      <w:r>
        <w:pict>
          <v:shape id="_x0000_s2267" o:spid="_x0000_s2267" o:spt="75" type="#_x0000_t75" style="position:absolute;left:0pt;margin-left:170pt;margin-top:17.05pt;height:37.35pt;width:105.3pt;z-index:251664384;mso-width-relative:page;mso-height-relative:page;" o:ole="t" filled="f" o:preferrelative="t" stroked="f" coordsize="21600,21600">
            <v:path/>
            <v:fill on="f" focussize="0,0"/>
            <v:stroke on="f" joinstyle="miter"/>
            <v:imagedata r:id="rId20" o:title=""/>
            <o:lock v:ext="edit" aspectratio="t"/>
          </v:shape>
          <o:OLEObject Type="Embed" ProgID="Equation.DSMT4" ShapeID="_x0000_s2267" DrawAspect="Content" ObjectID="_1468075729" r:id="rId19">
            <o:LockedField>false</o:LockedField>
          </o:OLEObject>
        </w:pict>
      </w:r>
      <w:r>
        <w:rPr>
          <w:sz w:val="24"/>
        </w:rPr>
        <w:t>a）若以标准铂电阻温度计为标准器，则</w:t>
      </w:r>
    </w:p>
    <w:p w14:paraId="5391705E">
      <w:pPr>
        <w:pStyle w:val="142"/>
        <w:spacing w:line="420" w:lineRule="exact"/>
      </w:pPr>
      <w:r>
        <w:rPr>
          <w:rFonts w:hint="eastAsia"/>
          <w:sz w:val="24"/>
        </w:rPr>
        <w:t xml:space="preserve">                                                                  </w:t>
      </w:r>
      <w:r>
        <w:rPr>
          <w:sz w:val="24"/>
        </w:rPr>
        <w:t>（2）</w:t>
      </w:r>
    </w:p>
    <w:p w14:paraId="0D90AA1B">
      <w:pPr>
        <w:spacing w:line="420" w:lineRule="exact"/>
        <w:rPr>
          <w:sz w:val="24"/>
        </w:rPr>
      </w:pPr>
      <w:r>
        <w:rPr>
          <w:position w:val="-6"/>
        </w:rPr>
        <w:object>
          <v:shape id="_x0000_i1029" o:spt="75" type="#_x0000_t75" style="height:12.75pt;width:7.5pt;" o:ole="t" filled="f" o:preferrelative="t" stroked="f" coordsize="21600,21600">
            <v:path/>
            <v:fill on="f" focussize="0,0"/>
            <v:stroke on="f" joinstyle="miter"/>
            <v:imagedata r:id="rId22" o:title=""/>
            <o:lock v:ext="edit" aspectratio="t"/>
            <w10:wrap type="none"/>
            <w10:anchorlock/>
          </v:shape>
          <o:OLEObject Type="Embed" ProgID="Equation.DSMT4" ShapeID="_x0000_i1029" DrawAspect="Content" ObjectID="_1468075730" r:id="rId21">
            <o:LockedField>false</o:LockedField>
          </o:OLEObject>
        </w:object>
      </w:r>
      <w:r>
        <w:rPr>
          <w:sz w:val="24"/>
        </w:rPr>
        <w:t>——名义校准温度，℃；</w:t>
      </w:r>
    </w:p>
    <w:p w14:paraId="01DA8D21">
      <w:pPr>
        <w:spacing w:line="420" w:lineRule="exact"/>
        <w:rPr>
          <w:sz w:val="24"/>
        </w:rPr>
      </w:pPr>
      <w:r>
        <w:rPr>
          <w:position w:val="-14"/>
        </w:rPr>
        <w:object>
          <v:shape id="_x0000_i1030" o:spt="75" type="#_x0000_t75" style="height:19.5pt;width:33pt;" o:ole="t" filled="f" o:preferrelative="t" stroked="f" coordsize="21600,21600">
            <v:path/>
            <v:fill on="f" focussize="0,0"/>
            <v:stroke on="f" joinstyle="miter"/>
            <v:imagedata r:id="rId24" o:title=""/>
            <o:lock v:ext="edit" aspectratio="t"/>
            <w10:wrap type="none"/>
            <w10:anchorlock/>
          </v:shape>
          <o:OLEObject Type="Embed" ProgID="Equation.DSMT4" ShapeID="_x0000_i1030" DrawAspect="Content" ObjectID="_1468075731" r:id="rId23">
            <o:LockedField>false</o:LockedField>
          </o:OLEObject>
        </w:object>
      </w:r>
      <w:r>
        <w:rPr>
          <w:sz w:val="24"/>
        </w:rPr>
        <w:t>——标准铂电阻温度计的电阻比</w:t>
      </w:r>
      <w:r>
        <w:rPr>
          <w:position w:val="-14"/>
        </w:rPr>
        <w:object>
          <v:shape id="_x0000_i1031" o:spt="75" type="#_x0000_t75" style="height:19.5pt;width:50.25pt;" o:ole="t" filled="f" o:preferrelative="t" stroked="f" coordsize="21600,21600">
            <v:path/>
            <v:fill on="f" focussize="0,0"/>
            <v:stroke on="f" joinstyle="miter"/>
            <v:imagedata r:id="rId26" o:title=""/>
            <o:lock v:ext="edit" aspectratio="t"/>
            <w10:wrap type="none"/>
            <w10:anchorlock/>
          </v:shape>
          <o:OLEObject Type="Embed" ProgID="Equation.DSMT4" ShapeID="_x0000_i1031" DrawAspect="Content" ObjectID="_1468075732" r:id="rId25">
            <o:LockedField>false</o:LockedField>
          </o:OLEObject>
        </w:object>
      </w:r>
      <w:r>
        <w:rPr>
          <w:sz w:val="24"/>
        </w:rPr>
        <w:t>；</w:t>
      </w:r>
    </w:p>
    <w:p w14:paraId="3864CAC2">
      <w:pPr>
        <w:spacing w:line="420" w:lineRule="exact"/>
        <w:rPr>
          <w:sz w:val="24"/>
        </w:rPr>
      </w:pPr>
      <w:r>
        <w:rPr>
          <w:position w:val="-14"/>
        </w:rPr>
        <w:object>
          <v:shape id="_x0000_i1032" o:spt="75" type="#_x0000_t75" style="height:19.5pt;width:31.5pt;" o:ole="t" filled="f" o:preferrelative="t" stroked="f" coordsize="21600,21600">
            <v:path/>
            <v:fill on="f" focussize="0,0"/>
            <v:stroke on="f" joinstyle="miter"/>
            <v:imagedata r:id="rId28" o:title=""/>
            <o:lock v:ext="edit" aspectratio="t"/>
            <w10:wrap type="none"/>
            <w10:anchorlock/>
          </v:shape>
          <o:OLEObject Type="Embed" ProgID="Equation.DSMT4" ShapeID="_x0000_i1032" DrawAspect="Content" ObjectID="_1468075733" r:id="rId27">
            <o:LockedField>false</o:LockedField>
          </o:OLEObject>
        </w:object>
      </w:r>
      <w:r>
        <w:rPr>
          <w:sz w:val="24"/>
        </w:rPr>
        <w:t>——在某温度校准点上，标准铂电阻温度计4次读数平均值，Ω；</w:t>
      </w:r>
    </w:p>
    <w:p w14:paraId="0DC34EEC">
      <w:pPr>
        <w:spacing w:line="420" w:lineRule="exact"/>
        <w:rPr>
          <w:sz w:val="24"/>
        </w:rPr>
      </w:pPr>
      <w:r>
        <w:rPr>
          <w:position w:val="-14"/>
        </w:rPr>
        <w:object>
          <v:shape id="_x0000_i1033" o:spt="75" type="#_x0000_t75" style="height:19.5pt;width:16.5pt;" o:ole="t" filled="f" o:preferrelative="t" stroked="f" coordsize="21600,21600">
            <v:path/>
            <v:fill on="f" focussize="0,0"/>
            <v:stroke on="f" joinstyle="miter"/>
            <v:imagedata r:id="rId30" o:title=""/>
            <o:lock v:ext="edit" aspectratio="t"/>
            <w10:wrap type="none"/>
            <w10:anchorlock/>
          </v:shape>
          <o:OLEObject Type="Embed" ProgID="Equation.DSMT4" ShapeID="_x0000_i1033" DrawAspect="Content" ObjectID="_1468075734" r:id="rId29">
            <o:LockedField>false</o:LockedField>
          </o:OLEObject>
        </w:object>
      </w:r>
      <w:r>
        <w:rPr>
          <w:sz w:val="24"/>
        </w:rPr>
        <w:t>——标准铂电阻温度计水三相点的电阻值，Ω；</w:t>
      </w:r>
    </w:p>
    <w:p w14:paraId="18B76112">
      <w:pPr>
        <w:spacing w:line="420" w:lineRule="exact"/>
        <w:rPr>
          <w:sz w:val="24"/>
        </w:rPr>
      </w:pPr>
      <w:r>
        <w:rPr>
          <w:position w:val="-14"/>
        </w:rPr>
        <w:object>
          <v:shape id="_x0000_i1034" o:spt="75" type="#_x0000_t75" style="height:19.5pt;width:28.5pt;" o:ole="t" filled="f" o:preferrelative="t" stroked="f" coordsize="21600,21600">
            <v:path/>
            <v:fill on="f" focussize="0,0"/>
            <v:stroke on="f" joinstyle="miter"/>
            <v:imagedata r:id="rId32" o:title=""/>
            <o:lock v:ext="edit" aspectratio="t"/>
            <w10:wrap type="none"/>
            <w10:anchorlock/>
          </v:shape>
          <o:OLEObject Type="Embed" ProgID="Equation.DSMT4" ShapeID="_x0000_i1034" DrawAspect="Content" ObjectID="_1468075735" r:id="rId31">
            <o:LockedField>false</o:LockedField>
          </o:OLEObject>
        </w:object>
      </w:r>
      <w:r>
        <w:rPr>
          <w:sz w:val="24"/>
        </w:rPr>
        <w:t>——温度</w:t>
      </w:r>
      <w:r>
        <w:rPr>
          <w:i/>
          <w:sz w:val="24"/>
        </w:rPr>
        <w:t>t</w:t>
      </w:r>
      <w:r>
        <w:rPr>
          <w:sz w:val="24"/>
        </w:rPr>
        <w:t>时标准铂电阻温度计分度表给出的电阻比；</w:t>
      </w:r>
    </w:p>
    <w:p w14:paraId="4E139EE5">
      <w:pPr>
        <w:spacing w:line="420" w:lineRule="exact"/>
        <w:rPr>
          <w:sz w:val="24"/>
        </w:rPr>
      </w:pPr>
      <w:r>
        <w:rPr>
          <w:position w:val="-14"/>
        </w:rPr>
        <w:object>
          <v:shape id="_x0000_i1035" o:spt="75" type="#_x0000_t75" style="height:19.5pt;width:52.5pt;" o:ole="t" filled="f" o:preferrelative="t" stroked="f" coordsize="21600,21600">
            <v:path/>
            <v:fill on="f" focussize="0,0"/>
            <v:stroke on="f" joinstyle="miter"/>
            <v:imagedata r:id="rId34" o:title=""/>
            <o:lock v:ext="edit" aspectratio="t"/>
            <w10:wrap type="none"/>
            <w10:anchorlock/>
          </v:shape>
          <o:OLEObject Type="Embed" ProgID="Equation.DSMT4" ShapeID="_x0000_i1035" DrawAspect="Content" ObjectID="_1468075736" r:id="rId33">
            <o:LockedField>false</o:LockedField>
          </o:OLEObject>
        </w:object>
      </w:r>
      <w:r>
        <w:rPr>
          <w:sz w:val="24"/>
        </w:rPr>
        <w:t>——温度</w:t>
      </w:r>
      <w:r>
        <w:rPr>
          <w:i/>
          <w:sz w:val="24"/>
        </w:rPr>
        <w:t>t</w:t>
      </w:r>
      <w:r>
        <w:rPr>
          <w:sz w:val="24"/>
        </w:rPr>
        <w:t>时标准铂电阻温度计分度表给出的在温度</w:t>
      </w:r>
      <w:r>
        <w:rPr>
          <w:i/>
          <w:sz w:val="24"/>
        </w:rPr>
        <w:t>t</w:t>
      </w:r>
      <w:r>
        <w:rPr>
          <w:sz w:val="24"/>
        </w:rPr>
        <w:t>时对应的电阻比的变化率，℃</w:t>
      </w:r>
      <w:r>
        <w:rPr>
          <w:sz w:val="24"/>
          <w:vertAlign w:val="superscript"/>
        </w:rPr>
        <w:t>-1</w:t>
      </w:r>
      <w:r>
        <w:rPr>
          <w:sz w:val="24"/>
        </w:rPr>
        <w:t>。</w:t>
      </w:r>
    </w:p>
    <w:p w14:paraId="61C3893C">
      <w:pPr>
        <w:spacing w:line="420" w:lineRule="exact"/>
        <w:rPr>
          <w:sz w:val="24"/>
        </w:rPr>
      </w:pPr>
      <w:r>
        <w:pict>
          <v:shape id="_x0000_s2268" o:spid="_x0000_s2268" o:spt="75" type="#_x0000_t75" style="position:absolute;left:0pt;margin-left:167.5pt;margin-top:17.05pt;height:37.35pt;width:115.45pt;z-index:251665408;mso-width-relative:page;mso-height-relative:page;" o:ole="t" filled="f" o:preferrelative="t" stroked="f" coordsize="21600,21600">
            <v:path/>
            <v:fill on="f" focussize="0,0"/>
            <v:stroke on="f" joinstyle="miter"/>
            <v:imagedata r:id="rId36" o:title=""/>
            <o:lock v:ext="edit" aspectratio="t"/>
          </v:shape>
          <o:OLEObject Type="Embed" ProgID="Equation.DSMT4" ShapeID="_x0000_s2268" DrawAspect="Content" ObjectID="_1468075737" r:id="rId35">
            <o:LockedField>false</o:LockedField>
          </o:OLEObject>
        </w:pict>
      </w:r>
      <w:r>
        <w:rPr>
          <w:sz w:val="24"/>
        </w:rPr>
        <w:t>b）若以标准铂铑10-铂热电偶为标准器，则</w:t>
      </w:r>
    </w:p>
    <w:p w14:paraId="2574BF08">
      <w:pPr>
        <w:pStyle w:val="142"/>
        <w:spacing w:line="420" w:lineRule="exact"/>
      </w:pPr>
      <w:r>
        <w:rPr>
          <w:rFonts w:hint="eastAsia"/>
          <w:sz w:val="24"/>
        </w:rPr>
        <w:t xml:space="preserve">                                                                  </w:t>
      </w:r>
      <w:r>
        <w:rPr>
          <w:sz w:val="24"/>
        </w:rPr>
        <w:t>（3）</w:t>
      </w:r>
    </w:p>
    <w:p w14:paraId="0AD14F88">
      <w:pPr>
        <w:pStyle w:val="142"/>
        <w:spacing w:line="420" w:lineRule="exact"/>
        <w:jc w:val="both"/>
        <w:rPr>
          <w:sz w:val="24"/>
        </w:rPr>
      </w:pPr>
      <w:r>
        <w:rPr>
          <w:sz w:val="24"/>
        </w:rPr>
        <w:t>式中：</w:t>
      </w:r>
    </w:p>
    <w:p w14:paraId="1AE4BBAC">
      <w:pPr>
        <w:spacing w:line="420" w:lineRule="exact"/>
        <w:rPr>
          <w:sz w:val="24"/>
        </w:rPr>
      </w:pPr>
      <w:r>
        <w:rPr>
          <w:position w:val="-6"/>
        </w:rPr>
        <w:object>
          <v:shape id="_x0000_i1036" o:spt="75" type="#_x0000_t75" style="height:12.75pt;width:7.5pt;" o:ole="t" filled="f" o:preferrelative="t" stroked="f" coordsize="21600,21600">
            <v:path/>
            <v:fill on="f" focussize="0,0"/>
            <v:stroke on="f" joinstyle="miter"/>
            <v:imagedata r:id="rId22" o:title=""/>
            <o:lock v:ext="edit" aspectratio="t"/>
            <w10:wrap type="none"/>
            <w10:anchorlock/>
          </v:shape>
          <o:OLEObject Type="Embed" ProgID="Equation.DSMT4" ShapeID="_x0000_i1036" DrawAspect="Content" ObjectID="_1468075738" r:id="rId37">
            <o:LockedField>false</o:LockedField>
          </o:OLEObject>
        </w:object>
      </w:r>
      <w:r>
        <w:rPr>
          <w:sz w:val="24"/>
        </w:rPr>
        <w:t>——名义校准温度，℃；</w:t>
      </w:r>
    </w:p>
    <w:p w14:paraId="54006FDA">
      <w:pPr>
        <w:spacing w:line="420" w:lineRule="exact"/>
        <w:rPr>
          <w:sz w:val="24"/>
        </w:rPr>
      </w:pPr>
      <w:r>
        <w:rPr>
          <w:position w:val="-14"/>
        </w:rPr>
        <w:object>
          <v:shape id="_x0000_i1037" o:spt="75" type="#_x0000_t75" style="height:19.5pt;width:37.5pt;" o:ole="t" filled="f" o:preferrelative="t" stroked="f" coordsize="21600,21600">
            <v:path/>
            <v:fill on="f" focussize="0,0"/>
            <v:stroke on="f" joinstyle="miter"/>
            <v:imagedata r:id="rId39" o:title=""/>
            <o:lock v:ext="edit" aspectratio="t"/>
            <w10:wrap type="none"/>
            <w10:anchorlock/>
          </v:shape>
          <o:OLEObject Type="Embed" ProgID="Equation.DSMT4" ShapeID="_x0000_i1037" DrawAspect="Content" ObjectID="_1468075739" r:id="rId38">
            <o:LockedField>false</o:LockedField>
          </o:OLEObject>
        </w:object>
      </w:r>
      <w:r>
        <w:rPr>
          <w:sz w:val="24"/>
        </w:rPr>
        <w:t>——标准热电偶证书上温度</w:t>
      </w:r>
      <w:r>
        <w:rPr>
          <w:i/>
          <w:sz w:val="24"/>
        </w:rPr>
        <w:t>t</w:t>
      </w:r>
      <w:r>
        <w:rPr>
          <w:sz w:val="24"/>
        </w:rPr>
        <w:t>时的热电动势值，mV；</w:t>
      </w:r>
    </w:p>
    <w:p w14:paraId="2FCFEB24">
      <w:pPr>
        <w:spacing w:line="420" w:lineRule="exact"/>
        <w:rPr>
          <w:sz w:val="24"/>
        </w:rPr>
      </w:pPr>
      <w:r>
        <w:rPr>
          <w:position w:val="-14"/>
        </w:rPr>
        <w:object>
          <v:shape id="_x0000_i1038" o:spt="75" type="#_x0000_t75" style="height:19.5pt;width:42pt;" o:ole="t" filled="f" o:preferrelative="t" stroked="f" coordsize="21600,21600">
            <v:path/>
            <v:fill on="f" focussize="0,0"/>
            <v:stroke on="f" joinstyle="miter"/>
            <v:imagedata r:id="rId41" o:title=""/>
            <o:lock v:ext="edit" aspectratio="t"/>
            <w10:wrap type="none"/>
            <w10:anchorlock/>
          </v:shape>
          <o:OLEObject Type="Embed" ProgID="Equation.DSMT4" ShapeID="_x0000_i1038" DrawAspect="Content" ObjectID="_1468075740" r:id="rId40">
            <o:LockedField>false</o:LockedField>
          </o:OLEObject>
        </w:object>
      </w:r>
      <w:r>
        <w:rPr>
          <w:sz w:val="24"/>
        </w:rPr>
        <w:t>——标准热电偶测得的热电动势4次读数平均值，mV；</w:t>
      </w:r>
    </w:p>
    <w:p w14:paraId="567CA1F6">
      <w:pPr>
        <w:spacing w:line="420" w:lineRule="exact"/>
        <w:rPr>
          <w:sz w:val="24"/>
        </w:rPr>
      </w:pPr>
      <w:r>
        <w:rPr>
          <w:position w:val="-14"/>
        </w:rPr>
        <w:object>
          <v:shape id="_x0000_i1039" o:spt="75" type="#_x0000_t75" style="height:19.5pt;width:33pt;" o:ole="t" filled="f" o:preferrelative="t" stroked="f" coordsize="21600,21600">
            <v:path/>
            <v:fill on="f" focussize="0,0"/>
            <v:stroke on="f" joinstyle="miter"/>
            <v:imagedata r:id="rId43" o:title=""/>
            <o:lock v:ext="edit" aspectratio="t"/>
            <w10:wrap type="none"/>
            <w10:anchorlock/>
          </v:shape>
          <o:OLEObject Type="Embed" ProgID="Equation.DSMT4" ShapeID="_x0000_i1039" DrawAspect="Content" ObjectID="_1468075741" r:id="rId42">
            <o:LockedField>false</o:LockedField>
          </o:OLEObject>
        </w:object>
      </w:r>
      <w:r>
        <w:rPr>
          <w:sz w:val="24"/>
        </w:rPr>
        <w:t>——标准热电偶在</w:t>
      </w:r>
      <w:r>
        <w:rPr>
          <w:i/>
          <w:sz w:val="24"/>
        </w:rPr>
        <w:t>t</w:t>
      </w:r>
      <w:r>
        <w:rPr>
          <w:sz w:val="24"/>
        </w:rPr>
        <w:t>校准点的微分热电动势，μV/℃。</w:t>
      </w:r>
    </w:p>
    <w:p w14:paraId="065E4B10">
      <w:pPr>
        <w:spacing w:line="420" w:lineRule="exact"/>
        <w:rPr>
          <w:sz w:val="24"/>
        </w:rPr>
      </w:pPr>
      <w:r>
        <w:rPr>
          <w:sz w:val="24"/>
        </w:rPr>
        <w:t>7.</w:t>
      </w:r>
      <w:r>
        <w:rPr>
          <w:rFonts w:hint="eastAsia"/>
          <w:sz w:val="24"/>
        </w:rPr>
        <w:t>3</w:t>
      </w:r>
      <w:r>
        <w:rPr>
          <w:sz w:val="24"/>
        </w:rPr>
        <w:t>.4.2</w:t>
      </w:r>
      <w:r>
        <w:rPr>
          <w:rFonts w:hint="eastAsia"/>
          <w:sz w:val="24"/>
        </w:rPr>
        <w:t>温度</w:t>
      </w:r>
      <w:r>
        <w:rPr>
          <w:sz w:val="24"/>
        </w:rPr>
        <w:t>示值一致性</w:t>
      </w:r>
    </w:p>
    <w:p w14:paraId="6A725F7B">
      <w:pPr>
        <w:spacing w:line="420" w:lineRule="exact"/>
        <w:ind w:firstLine="480" w:firstLineChars="200"/>
        <w:rPr>
          <w:sz w:val="24"/>
        </w:rPr>
      </w:pPr>
      <w:r>
        <w:rPr>
          <w:sz w:val="24"/>
        </w:rPr>
        <w:t>取各通道读数示值误差最大值与最小数值之差为温度示值一致性。</w:t>
      </w:r>
    </w:p>
    <w:p w14:paraId="40C5D424">
      <w:pPr>
        <w:spacing w:line="420" w:lineRule="exact"/>
        <w:jc w:val="center"/>
        <w:rPr>
          <w:sz w:val="24"/>
        </w:rPr>
      </w:pPr>
      <w:r>
        <w:rPr>
          <w:position w:val="-12"/>
        </w:rPr>
        <w:object>
          <v:shape id="_x0000_i1040" o:spt="75" type="#_x0000_t75" style="height:18pt;width:82.5pt;" o:ole="t" filled="f" o:preferrelative="t" stroked="f" coordsize="21600,21600">
            <v:path/>
            <v:fill on="f" focussize="0,0"/>
            <v:stroke on="f" joinstyle="miter"/>
            <v:imagedata r:id="rId45" o:title=""/>
            <o:lock v:ext="edit" aspectratio="t"/>
            <w10:wrap type="none"/>
            <w10:anchorlock/>
          </v:shape>
          <o:OLEObject Type="Embed" ProgID="Equation.DSMT4" ShapeID="_x0000_i1040" DrawAspect="Content" ObjectID="_1468075742" r:id="rId44">
            <o:LockedField>false</o:LockedField>
          </o:OLEObject>
        </w:object>
      </w:r>
      <w:r>
        <w:rPr>
          <w:sz w:val="24"/>
        </w:rPr>
        <w:t>（</w:t>
      </w:r>
      <w:r>
        <w:rPr>
          <w:rFonts w:hint="eastAsia"/>
          <w:sz w:val="24"/>
        </w:rPr>
        <w:t>4</w:t>
      </w:r>
      <w:r>
        <w:rPr>
          <w:sz w:val="24"/>
        </w:rPr>
        <w:t>）</w:t>
      </w:r>
    </w:p>
    <w:p w14:paraId="0068367C">
      <w:pPr>
        <w:spacing w:line="420" w:lineRule="exact"/>
        <w:rPr>
          <w:sz w:val="24"/>
        </w:rPr>
      </w:pPr>
      <w:r>
        <w:rPr>
          <w:sz w:val="24"/>
        </w:rPr>
        <w:t>式中：</w:t>
      </w:r>
    </w:p>
    <w:p w14:paraId="38FED883">
      <w:pPr>
        <w:spacing w:line="420" w:lineRule="exact"/>
        <w:rPr>
          <w:sz w:val="24"/>
        </w:rPr>
      </w:pPr>
      <w:r>
        <w:rPr>
          <w:position w:val="-6"/>
        </w:rPr>
        <w:object>
          <v:shape id="_x0000_i1041" o:spt="75" type="#_x0000_t75" style="height:13.5pt;width:13.5pt;" o:ole="t" filled="f" o:preferrelative="t" stroked="f" coordsize="21600,21600">
            <v:path/>
            <v:fill on="f" focussize="0,0"/>
            <v:stroke on="f" joinstyle="miter"/>
            <v:imagedata r:id="rId47" o:title=""/>
            <o:lock v:ext="edit" aspectratio="t"/>
            <w10:wrap type="none"/>
            <w10:anchorlock/>
          </v:shape>
          <o:OLEObject Type="Embed" ProgID="Equation.DSMT4" ShapeID="_x0000_i1041" DrawAspect="Content" ObjectID="_1468075743" r:id="rId46">
            <o:LockedField>false</o:LockedField>
          </o:OLEObject>
        </w:object>
      </w:r>
      <w:r>
        <w:rPr>
          <w:sz w:val="24"/>
        </w:rPr>
        <w:t>——在某工况温度某温度校准点上，炉温跟踪仪温度示值一致性，℃；</w:t>
      </w:r>
    </w:p>
    <w:p w14:paraId="23C4EC8A">
      <w:pPr>
        <w:spacing w:line="420" w:lineRule="exact"/>
        <w:rPr>
          <w:sz w:val="24"/>
        </w:rPr>
      </w:pPr>
      <w:r>
        <w:rPr>
          <w:position w:val="-12"/>
        </w:rPr>
        <w:object>
          <v:shape id="_x0000_i1042" o:spt="75" type="#_x0000_t75" style="height:18pt;width:26.25pt;" o:ole="t" filled="f" o:preferrelative="t" stroked="f" coordsize="21600,21600">
            <v:path/>
            <v:fill on="f" focussize="0,0"/>
            <v:stroke on="f" joinstyle="miter"/>
            <v:imagedata r:id="rId49" o:title=""/>
            <o:lock v:ext="edit" aspectratio="t"/>
            <w10:wrap type="none"/>
            <w10:anchorlock/>
          </v:shape>
          <o:OLEObject Type="Embed" ProgID="Equation.DSMT4" ShapeID="_x0000_i1042" DrawAspect="Content" ObjectID="_1468075744" r:id="rId48">
            <o:LockedField>false</o:LockedField>
          </o:OLEObject>
        </w:object>
      </w:r>
      <w:r>
        <w:rPr>
          <w:sz w:val="24"/>
        </w:rPr>
        <w:t>——在某工况温度某温度校准点上，所有温度通道中示值误差最大值，℃；</w:t>
      </w:r>
    </w:p>
    <w:p w14:paraId="54B32EEB">
      <w:pPr>
        <w:spacing w:line="420" w:lineRule="exact"/>
        <w:rPr>
          <w:sz w:val="24"/>
        </w:rPr>
      </w:pPr>
      <w:r>
        <w:rPr>
          <w:position w:val="-12"/>
        </w:rPr>
        <w:object>
          <v:shape id="_x0000_i1043" o:spt="75" type="#_x0000_t75" style="height:18pt;width:25.5pt;" o:ole="t" filled="f" o:preferrelative="t" stroked="f" coordsize="21600,21600">
            <v:path/>
            <v:fill on="f" focussize="0,0"/>
            <v:stroke on="f" joinstyle="miter"/>
            <v:imagedata r:id="rId51" o:title=""/>
            <o:lock v:ext="edit" aspectratio="t"/>
            <w10:wrap type="none"/>
            <w10:anchorlock/>
          </v:shape>
          <o:OLEObject Type="Embed" ProgID="Equation.DSMT4" ShapeID="_x0000_i1043" DrawAspect="Content" ObjectID="_1468075745" r:id="rId50">
            <o:LockedField>false</o:LockedField>
          </o:OLEObject>
        </w:object>
      </w:r>
      <w:r>
        <w:rPr>
          <w:sz w:val="24"/>
        </w:rPr>
        <w:t>——在某工况温度某温度校准点上，所有温度通道中示值误差最小值，℃。</w:t>
      </w:r>
    </w:p>
    <w:p w14:paraId="791BBD77">
      <w:pPr>
        <w:pStyle w:val="2"/>
        <w:spacing w:before="105" w:after="105"/>
        <w:rPr>
          <w:rFonts w:eastAsia="黑体"/>
          <w:b w:val="0"/>
          <w:sz w:val="24"/>
          <w:szCs w:val="24"/>
        </w:rPr>
      </w:pPr>
      <w:bookmarkStart w:id="17" w:name="_Toc192517515"/>
      <w:r>
        <w:rPr>
          <w:rFonts w:eastAsia="黑体"/>
          <w:b w:val="0"/>
          <w:sz w:val="24"/>
          <w:szCs w:val="24"/>
        </w:rPr>
        <w:t>8 校准结果表达</w:t>
      </w:r>
      <w:bookmarkEnd w:id="17"/>
    </w:p>
    <w:p w14:paraId="3840851A">
      <w:pPr>
        <w:adjustRightInd w:val="0"/>
        <w:snapToGrid w:val="0"/>
        <w:spacing w:line="420" w:lineRule="exact"/>
        <w:ind w:firstLine="480" w:firstLineChars="200"/>
        <w:rPr>
          <w:sz w:val="24"/>
        </w:rPr>
      </w:pPr>
      <w:bookmarkStart w:id="18" w:name="_Toc280866940"/>
      <w:r>
        <w:rPr>
          <w:sz w:val="24"/>
        </w:rPr>
        <w:t>校准结果应在校准证书上反应，校准证书应至少包括以下信息：</w:t>
      </w:r>
      <w:bookmarkEnd w:id="18"/>
    </w:p>
    <w:p w14:paraId="1E3F0E7D">
      <w:pPr>
        <w:snapToGrid w:val="0"/>
        <w:spacing w:line="420" w:lineRule="exact"/>
        <w:ind w:firstLine="480" w:firstLineChars="200"/>
        <w:rPr>
          <w:sz w:val="24"/>
        </w:rPr>
      </w:pPr>
      <w:r>
        <w:rPr>
          <w:sz w:val="24"/>
        </w:rPr>
        <w:t>a) 标题，“校准证书”；</w:t>
      </w:r>
    </w:p>
    <w:p w14:paraId="741B954B">
      <w:pPr>
        <w:snapToGrid w:val="0"/>
        <w:spacing w:line="420" w:lineRule="exact"/>
        <w:ind w:firstLine="480"/>
        <w:rPr>
          <w:sz w:val="24"/>
        </w:rPr>
      </w:pPr>
      <w:r>
        <w:rPr>
          <w:sz w:val="24"/>
        </w:rPr>
        <w:t>b) 实验室名称和地址；</w:t>
      </w:r>
    </w:p>
    <w:p w14:paraId="613B4DD0">
      <w:pPr>
        <w:snapToGrid w:val="0"/>
        <w:spacing w:line="420" w:lineRule="exact"/>
        <w:ind w:firstLine="480"/>
        <w:rPr>
          <w:sz w:val="24"/>
        </w:rPr>
      </w:pPr>
      <w:r>
        <w:rPr>
          <w:sz w:val="24"/>
        </w:rPr>
        <w:t>c) 进行校准的地点（如果与实验室的地址不同）；</w:t>
      </w:r>
    </w:p>
    <w:p w14:paraId="3B25103C">
      <w:pPr>
        <w:snapToGrid w:val="0"/>
        <w:spacing w:line="420" w:lineRule="exact"/>
        <w:ind w:firstLine="480"/>
        <w:rPr>
          <w:sz w:val="24"/>
        </w:rPr>
      </w:pPr>
      <w:r>
        <w:rPr>
          <w:sz w:val="24"/>
        </w:rPr>
        <w:t>d) 证书的唯一性标识（如编号），每页及总页数的标识；</w:t>
      </w:r>
    </w:p>
    <w:p w14:paraId="17ECA850">
      <w:pPr>
        <w:snapToGrid w:val="0"/>
        <w:spacing w:line="420" w:lineRule="exact"/>
        <w:ind w:firstLine="480"/>
        <w:rPr>
          <w:sz w:val="24"/>
        </w:rPr>
      </w:pPr>
      <w:r>
        <w:rPr>
          <w:sz w:val="24"/>
        </w:rPr>
        <w:t>e) 客户的名称和地址；</w:t>
      </w:r>
    </w:p>
    <w:p w14:paraId="6D01C8B8">
      <w:pPr>
        <w:snapToGrid w:val="0"/>
        <w:spacing w:line="420" w:lineRule="exact"/>
        <w:ind w:firstLine="480"/>
        <w:rPr>
          <w:sz w:val="24"/>
        </w:rPr>
      </w:pPr>
      <w:r>
        <w:rPr>
          <w:sz w:val="24"/>
        </w:rPr>
        <w:t>f) 被校对象的描述和明确标识；</w:t>
      </w:r>
    </w:p>
    <w:p w14:paraId="787E3BDE">
      <w:pPr>
        <w:snapToGrid w:val="0"/>
        <w:spacing w:line="420" w:lineRule="exact"/>
        <w:ind w:firstLine="480"/>
        <w:rPr>
          <w:sz w:val="24"/>
        </w:rPr>
      </w:pPr>
      <w:r>
        <w:rPr>
          <w:sz w:val="24"/>
        </w:rPr>
        <w:t>g) 进行校准的日期，如果与校准结果的有效性和应用有关时，应说明被校对象的接收日期；</w:t>
      </w:r>
    </w:p>
    <w:p w14:paraId="1DCBABC3">
      <w:pPr>
        <w:snapToGrid w:val="0"/>
        <w:spacing w:line="420" w:lineRule="exact"/>
        <w:ind w:firstLine="480"/>
        <w:rPr>
          <w:sz w:val="24"/>
        </w:rPr>
      </w:pPr>
      <w:r>
        <w:rPr>
          <w:sz w:val="24"/>
        </w:rPr>
        <w:t>h) 如果与校准结果的有效性和应用有关时，应对被校样品的抽样程序进行说明；</w:t>
      </w:r>
    </w:p>
    <w:p w14:paraId="298911E9">
      <w:pPr>
        <w:snapToGrid w:val="0"/>
        <w:spacing w:line="420" w:lineRule="exact"/>
        <w:ind w:firstLine="480"/>
        <w:rPr>
          <w:sz w:val="24"/>
        </w:rPr>
      </w:pPr>
      <w:r>
        <w:rPr>
          <w:sz w:val="24"/>
        </w:rPr>
        <w:t>i) 校准所依据的技术规范的标识，包括名称及代号；</w:t>
      </w:r>
    </w:p>
    <w:p w14:paraId="0A80E8B8">
      <w:pPr>
        <w:snapToGrid w:val="0"/>
        <w:spacing w:line="420" w:lineRule="exact"/>
        <w:ind w:firstLine="480"/>
        <w:rPr>
          <w:sz w:val="24"/>
        </w:rPr>
      </w:pPr>
      <w:r>
        <w:rPr>
          <w:sz w:val="24"/>
        </w:rPr>
        <w:t>j) 本次校准所用测量标准的溯源性及有效性说明；</w:t>
      </w:r>
    </w:p>
    <w:p w14:paraId="0E6CA2DA">
      <w:pPr>
        <w:snapToGrid w:val="0"/>
        <w:spacing w:line="420" w:lineRule="exact"/>
        <w:ind w:firstLine="480"/>
        <w:rPr>
          <w:sz w:val="24"/>
        </w:rPr>
      </w:pPr>
      <w:r>
        <w:rPr>
          <w:sz w:val="24"/>
        </w:rPr>
        <w:t>k) 校准环境的描述；</w:t>
      </w:r>
    </w:p>
    <w:p w14:paraId="78B04E06">
      <w:pPr>
        <w:snapToGrid w:val="0"/>
        <w:spacing w:line="420" w:lineRule="exact"/>
        <w:ind w:firstLine="480"/>
        <w:rPr>
          <w:sz w:val="24"/>
        </w:rPr>
      </w:pPr>
      <w:r>
        <w:rPr>
          <w:sz w:val="24"/>
        </w:rPr>
        <w:t>l) 校准结果及其测量不确定度的说明；</w:t>
      </w:r>
    </w:p>
    <w:p w14:paraId="1EAE2B4D">
      <w:pPr>
        <w:snapToGrid w:val="0"/>
        <w:spacing w:line="420" w:lineRule="exact"/>
        <w:ind w:firstLine="480"/>
        <w:rPr>
          <w:sz w:val="24"/>
        </w:rPr>
      </w:pPr>
      <w:r>
        <w:rPr>
          <w:sz w:val="24"/>
        </w:rPr>
        <w:t>m) 对校准规范的偏离的说明；</w:t>
      </w:r>
    </w:p>
    <w:p w14:paraId="1ABFEAD6">
      <w:pPr>
        <w:snapToGrid w:val="0"/>
        <w:spacing w:line="420" w:lineRule="exact"/>
        <w:ind w:firstLine="480"/>
        <w:rPr>
          <w:sz w:val="24"/>
        </w:rPr>
      </w:pPr>
      <w:r>
        <w:rPr>
          <w:sz w:val="24"/>
        </w:rPr>
        <w:t>n) 校准证书签发人的签名、职务或等效标识；</w:t>
      </w:r>
    </w:p>
    <w:p w14:paraId="4FA0E09E">
      <w:pPr>
        <w:snapToGrid w:val="0"/>
        <w:spacing w:line="420" w:lineRule="exact"/>
        <w:ind w:firstLine="480"/>
        <w:rPr>
          <w:sz w:val="24"/>
        </w:rPr>
      </w:pPr>
      <w:r>
        <w:rPr>
          <w:sz w:val="24"/>
        </w:rPr>
        <w:t>o) 校准结果仅对被校对象有效的声明；</w:t>
      </w:r>
    </w:p>
    <w:p w14:paraId="69D5F52C">
      <w:pPr>
        <w:snapToGrid w:val="0"/>
        <w:spacing w:line="420" w:lineRule="exact"/>
        <w:ind w:firstLine="480"/>
        <w:rPr>
          <w:sz w:val="24"/>
        </w:rPr>
      </w:pPr>
      <w:r>
        <w:rPr>
          <w:sz w:val="24"/>
        </w:rPr>
        <w:t>p) 未经实验室书面批准，不得部分复制证书的声明。</w:t>
      </w:r>
    </w:p>
    <w:p w14:paraId="502B88C7">
      <w:pPr>
        <w:pStyle w:val="2"/>
        <w:spacing w:before="105" w:after="105"/>
        <w:rPr>
          <w:rFonts w:eastAsia="黑体"/>
          <w:b w:val="0"/>
          <w:sz w:val="24"/>
          <w:szCs w:val="24"/>
        </w:rPr>
      </w:pPr>
      <w:bookmarkStart w:id="19" w:name="_Toc192517516"/>
      <w:bookmarkStart w:id="20" w:name="_Toc438025705"/>
      <w:r>
        <w:rPr>
          <w:rFonts w:eastAsia="黑体"/>
          <w:b w:val="0"/>
          <w:sz w:val="24"/>
          <w:szCs w:val="24"/>
        </w:rPr>
        <w:t>9 复校时间间隔</w:t>
      </w:r>
      <w:bookmarkEnd w:id="19"/>
      <w:bookmarkEnd w:id="20"/>
    </w:p>
    <w:p w14:paraId="312B146F">
      <w:pPr>
        <w:snapToGrid w:val="0"/>
        <w:spacing w:line="420" w:lineRule="exact"/>
        <w:ind w:firstLine="480" w:firstLineChars="200"/>
        <w:rPr>
          <w:sz w:val="24"/>
        </w:rPr>
      </w:pPr>
      <w:r>
        <w:rPr>
          <w:sz w:val="24"/>
        </w:rPr>
        <w:t>由于复校时间间隔是由仪器的使用情况、使用者和仪器本身质量等诸多因素决定的，因此，送校单位可根据实际使用情况自主决定复校时间间隔。</w:t>
      </w:r>
    </w:p>
    <w:p w14:paraId="5CBBAD81">
      <w:pPr>
        <w:snapToGrid w:val="0"/>
        <w:spacing w:line="420" w:lineRule="exact"/>
        <w:ind w:firstLine="480" w:firstLineChars="200"/>
        <w:rPr>
          <w:sz w:val="24"/>
        </w:rPr>
      </w:pPr>
      <w:r>
        <w:rPr>
          <w:sz w:val="24"/>
        </w:rPr>
        <w:t>建议复校时间间隔为1年，使用特别频繁时应适当缩短。在使用过程中经过修理、更换重要元器件等的一般需重新校准。</w:t>
      </w:r>
    </w:p>
    <w:p w14:paraId="26FC1D22">
      <w:pPr>
        <w:widowControl/>
        <w:jc w:val="left"/>
        <w:rPr>
          <w:sz w:val="24"/>
        </w:rPr>
      </w:pPr>
      <w:r>
        <w:rPr>
          <w:sz w:val="24"/>
        </w:rPr>
        <w:br w:type="page"/>
      </w:r>
    </w:p>
    <w:p w14:paraId="4824493C">
      <w:pPr>
        <w:pStyle w:val="2"/>
        <w:spacing w:before="100" w:after="100"/>
        <w:rPr>
          <w:rFonts w:eastAsia="黑体"/>
          <w:b w:val="0"/>
          <w:sz w:val="28"/>
          <w:szCs w:val="28"/>
        </w:rPr>
      </w:pPr>
      <w:bookmarkStart w:id="21" w:name="_Toc192517518"/>
      <w:bookmarkStart w:id="22" w:name="_Toc438025706"/>
      <w:r>
        <w:rPr>
          <w:rFonts w:eastAsia="黑体"/>
          <w:b w:val="0"/>
          <w:sz w:val="28"/>
          <w:szCs w:val="28"/>
        </w:rPr>
        <w:t>附录</w:t>
      </w:r>
      <w:r>
        <w:rPr>
          <w:rFonts w:hint="eastAsia" w:eastAsia="黑体"/>
          <w:b w:val="0"/>
          <w:sz w:val="28"/>
          <w:szCs w:val="28"/>
        </w:rPr>
        <w:t>A</w:t>
      </w:r>
      <w:r>
        <w:rPr>
          <w:rFonts w:eastAsia="黑体"/>
          <w:b w:val="0"/>
          <w:sz w:val="28"/>
          <w:szCs w:val="28"/>
        </w:rPr>
        <w:t>炉温跟踪仪校准原始记录参考格式</w:t>
      </w:r>
      <w:bookmarkEnd w:id="21"/>
    </w:p>
    <w:bookmarkEnd w:id="22"/>
    <w:p w14:paraId="331A585E">
      <w:pPr>
        <w:jc w:val="center"/>
        <w:rPr>
          <w:rFonts w:eastAsia="黑体"/>
          <w:sz w:val="28"/>
        </w:rPr>
      </w:pPr>
      <w:bookmarkStart w:id="23" w:name="_Toc438025707"/>
      <w:bookmarkStart w:id="24" w:name="_Toc492019320"/>
      <w:r>
        <w:rPr>
          <w:rFonts w:eastAsia="黑体"/>
          <w:sz w:val="28"/>
        </w:rPr>
        <w:t>炉温跟踪仪校准原始记录参考格式</w:t>
      </w:r>
      <w:bookmarkEnd w:id="23"/>
      <w:bookmarkEnd w:id="24"/>
      <w:bookmarkStart w:id="25" w:name="_Toc438025710"/>
    </w:p>
    <w:tbl>
      <w:tblPr>
        <w:tblStyle w:val="35"/>
        <w:tblW w:w="9143" w:type="dxa"/>
        <w:jc w:val="center"/>
        <w:tblLayout w:type="fixed"/>
        <w:tblCellMar>
          <w:top w:w="0" w:type="dxa"/>
          <w:left w:w="108" w:type="dxa"/>
          <w:bottom w:w="0" w:type="dxa"/>
          <w:right w:w="108" w:type="dxa"/>
        </w:tblCellMar>
      </w:tblPr>
      <w:tblGrid>
        <w:gridCol w:w="921"/>
        <w:gridCol w:w="709"/>
        <w:gridCol w:w="1276"/>
        <w:gridCol w:w="1327"/>
        <w:gridCol w:w="444"/>
        <w:gridCol w:w="1314"/>
        <w:gridCol w:w="850"/>
        <w:gridCol w:w="992"/>
        <w:gridCol w:w="1310"/>
      </w:tblGrid>
      <w:tr w14:paraId="43D0863D">
        <w:tblPrEx>
          <w:tblCellMar>
            <w:top w:w="0" w:type="dxa"/>
            <w:left w:w="108" w:type="dxa"/>
            <w:bottom w:w="0" w:type="dxa"/>
            <w:right w:w="108" w:type="dxa"/>
          </w:tblCellMar>
        </w:tblPrEx>
        <w:trPr>
          <w:trHeight w:val="47" w:hRule="atLeast"/>
          <w:jc w:val="center"/>
        </w:trPr>
        <w:tc>
          <w:tcPr>
            <w:tcW w:w="1630" w:type="dxa"/>
            <w:gridSpan w:val="2"/>
            <w:tcBorders>
              <w:top w:val="single" w:color="auto" w:sz="4" w:space="0"/>
              <w:left w:val="single" w:color="auto" w:sz="4" w:space="0"/>
              <w:bottom w:val="single" w:color="auto" w:sz="4" w:space="0"/>
              <w:right w:val="single" w:color="auto" w:sz="4" w:space="0"/>
            </w:tcBorders>
            <w:vAlign w:val="center"/>
          </w:tcPr>
          <w:p w14:paraId="14BCD243">
            <w:pPr>
              <w:widowControl/>
              <w:jc w:val="center"/>
              <w:rPr>
                <w:kern w:val="0"/>
                <w:sz w:val="24"/>
              </w:rPr>
            </w:pPr>
            <w:r>
              <w:rPr>
                <w:kern w:val="0"/>
                <w:sz w:val="24"/>
              </w:rPr>
              <w:t>委托单位</w:t>
            </w:r>
          </w:p>
        </w:tc>
        <w:tc>
          <w:tcPr>
            <w:tcW w:w="3047" w:type="dxa"/>
            <w:gridSpan w:val="3"/>
            <w:tcBorders>
              <w:top w:val="single" w:color="auto" w:sz="4" w:space="0"/>
              <w:left w:val="single" w:color="auto" w:sz="4" w:space="0"/>
              <w:bottom w:val="single" w:color="auto" w:sz="4" w:space="0"/>
              <w:right w:val="single" w:color="auto" w:sz="4" w:space="0"/>
            </w:tcBorders>
            <w:vAlign w:val="center"/>
          </w:tcPr>
          <w:p w14:paraId="2ADB0C17">
            <w:pPr>
              <w:widowControl/>
              <w:jc w:val="center"/>
              <w:rPr>
                <w:kern w:val="0"/>
                <w:sz w:val="24"/>
              </w:rPr>
            </w:pPr>
          </w:p>
        </w:tc>
        <w:tc>
          <w:tcPr>
            <w:tcW w:w="2164" w:type="dxa"/>
            <w:gridSpan w:val="2"/>
            <w:tcBorders>
              <w:top w:val="single" w:color="auto" w:sz="4" w:space="0"/>
              <w:left w:val="nil"/>
              <w:bottom w:val="single" w:color="auto" w:sz="4" w:space="0"/>
              <w:right w:val="single" w:color="auto" w:sz="4" w:space="0"/>
            </w:tcBorders>
            <w:vAlign w:val="center"/>
          </w:tcPr>
          <w:p w14:paraId="306B873A">
            <w:pPr>
              <w:widowControl/>
              <w:jc w:val="center"/>
              <w:rPr>
                <w:kern w:val="0"/>
                <w:sz w:val="24"/>
              </w:rPr>
            </w:pPr>
            <w:r>
              <w:rPr>
                <w:kern w:val="0"/>
                <w:sz w:val="24"/>
              </w:rPr>
              <w:t>委托方地址</w:t>
            </w:r>
          </w:p>
        </w:tc>
        <w:tc>
          <w:tcPr>
            <w:tcW w:w="2302" w:type="dxa"/>
            <w:gridSpan w:val="2"/>
            <w:tcBorders>
              <w:top w:val="single" w:color="auto" w:sz="4" w:space="0"/>
              <w:left w:val="nil"/>
              <w:bottom w:val="single" w:color="auto" w:sz="4" w:space="0"/>
              <w:right w:val="single" w:color="auto" w:sz="4" w:space="0"/>
            </w:tcBorders>
            <w:vAlign w:val="center"/>
          </w:tcPr>
          <w:p w14:paraId="282F90BE">
            <w:pPr>
              <w:widowControl/>
              <w:jc w:val="center"/>
              <w:rPr>
                <w:kern w:val="0"/>
                <w:sz w:val="24"/>
              </w:rPr>
            </w:pPr>
          </w:p>
        </w:tc>
      </w:tr>
      <w:tr w14:paraId="23BB3158">
        <w:tblPrEx>
          <w:tblCellMar>
            <w:top w:w="0" w:type="dxa"/>
            <w:left w:w="108" w:type="dxa"/>
            <w:bottom w:w="0" w:type="dxa"/>
            <w:right w:w="108" w:type="dxa"/>
          </w:tblCellMar>
        </w:tblPrEx>
        <w:trPr>
          <w:trHeight w:val="120" w:hRule="atLeast"/>
          <w:jc w:val="center"/>
        </w:trPr>
        <w:tc>
          <w:tcPr>
            <w:tcW w:w="1630" w:type="dxa"/>
            <w:gridSpan w:val="2"/>
            <w:tcBorders>
              <w:top w:val="single" w:color="auto" w:sz="4" w:space="0"/>
              <w:left w:val="single" w:color="auto" w:sz="4" w:space="0"/>
              <w:bottom w:val="single" w:color="auto" w:sz="4" w:space="0"/>
              <w:right w:val="single" w:color="auto" w:sz="4" w:space="0"/>
            </w:tcBorders>
            <w:vAlign w:val="center"/>
          </w:tcPr>
          <w:p w14:paraId="31BABB5C">
            <w:pPr>
              <w:widowControl/>
              <w:jc w:val="center"/>
              <w:rPr>
                <w:kern w:val="0"/>
                <w:sz w:val="24"/>
              </w:rPr>
            </w:pPr>
            <w:r>
              <w:rPr>
                <w:kern w:val="0"/>
                <w:sz w:val="24"/>
              </w:rPr>
              <w:t>仪器名称</w:t>
            </w:r>
          </w:p>
        </w:tc>
        <w:tc>
          <w:tcPr>
            <w:tcW w:w="3047" w:type="dxa"/>
            <w:gridSpan w:val="3"/>
            <w:tcBorders>
              <w:top w:val="single" w:color="auto" w:sz="4" w:space="0"/>
              <w:left w:val="single" w:color="auto" w:sz="4" w:space="0"/>
              <w:bottom w:val="single" w:color="auto" w:sz="4" w:space="0"/>
              <w:right w:val="single" w:color="auto" w:sz="4" w:space="0"/>
            </w:tcBorders>
            <w:vAlign w:val="center"/>
          </w:tcPr>
          <w:p w14:paraId="63B29328">
            <w:pPr>
              <w:widowControl/>
              <w:jc w:val="center"/>
              <w:rPr>
                <w:kern w:val="0"/>
                <w:sz w:val="24"/>
              </w:rPr>
            </w:pPr>
          </w:p>
        </w:tc>
        <w:tc>
          <w:tcPr>
            <w:tcW w:w="2164" w:type="dxa"/>
            <w:gridSpan w:val="2"/>
            <w:tcBorders>
              <w:top w:val="single" w:color="auto" w:sz="4" w:space="0"/>
              <w:left w:val="nil"/>
              <w:bottom w:val="single" w:color="auto" w:sz="4" w:space="0"/>
              <w:right w:val="single" w:color="auto" w:sz="4" w:space="0"/>
            </w:tcBorders>
            <w:vAlign w:val="center"/>
          </w:tcPr>
          <w:p w14:paraId="54C46475">
            <w:pPr>
              <w:widowControl/>
              <w:jc w:val="center"/>
              <w:rPr>
                <w:kern w:val="0"/>
                <w:sz w:val="24"/>
              </w:rPr>
            </w:pPr>
            <w:r>
              <w:rPr>
                <w:kern w:val="0"/>
                <w:sz w:val="24"/>
              </w:rPr>
              <w:t>型号/规格</w:t>
            </w:r>
          </w:p>
        </w:tc>
        <w:tc>
          <w:tcPr>
            <w:tcW w:w="2302" w:type="dxa"/>
            <w:gridSpan w:val="2"/>
            <w:tcBorders>
              <w:top w:val="single" w:color="auto" w:sz="4" w:space="0"/>
              <w:left w:val="nil"/>
              <w:bottom w:val="single" w:color="auto" w:sz="4" w:space="0"/>
              <w:right w:val="single" w:color="auto" w:sz="4" w:space="0"/>
            </w:tcBorders>
            <w:vAlign w:val="center"/>
          </w:tcPr>
          <w:p w14:paraId="0D4ED12C">
            <w:pPr>
              <w:widowControl/>
              <w:jc w:val="center"/>
              <w:rPr>
                <w:kern w:val="0"/>
                <w:sz w:val="24"/>
              </w:rPr>
            </w:pPr>
          </w:p>
        </w:tc>
      </w:tr>
      <w:tr w14:paraId="67670E22">
        <w:tblPrEx>
          <w:tblCellMar>
            <w:top w:w="0" w:type="dxa"/>
            <w:left w:w="108" w:type="dxa"/>
            <w:bottom w:w="0" w:type="dxa"/>
            <w:right w:w="108" w:type="dxa"/>
          </w:tblCellMar>
        </w:tblPrEx>
        <w:trPr>
          <w:trHeight w:val="47" w:hRule="atLeast"/>
          <w:jc w:val="center"/>
        </w:trPr>
        <w:tc>
          <w:tcPr>
            <w:tcW w:w="1630" w:type="dxa"/>
            <w:gridSpan w:val="2"/>
            <w:tcBorders>
              <w:top w:val="single" w:color="auto" w:sz="4" w:space="0"/>
              <w:left w:val="single" w:color="auto" w:sz="4" w:space="0"/>
              <w:bottom w:val="single" w:color="auto" w:sz="4" w:space="0"/>
              <w:right w:val="single" w:color="auto" w:sz="4" w:space="0"/>
            </w:tcBorders>
            <w:vAlign w:val="center"/>
          </w:tcPr>
          <w:p w14:paraId="5F60C4D3">
            <w:pPr>
              <w:widowControl/>
              <w:jc w:val="center"/>
              <w:rPr>
                <w:kern w:val="0"/>
                <w:sz w:val="24"/>
              </w:rPr>
            </w:pPr>
            <w:r>
              <w:rPr>
                <w:kern w:val="0"/>
                <w:sz w:val="24"/>
              </w:rPr>
              <w:t>制造单位</w:t>
            </w:r>
          </w:p>
        </w:tc>
        <w:tc>
          <w:tcPr>
            <w:tcW w:w="3047" w:type="dxa"/>
            <w:gridSpan w:val="3"/>
            <w:tcBorders>
              <w:top w:val="single" w:color="auto" w:sz="4" w:space="0"/>
              <w:left w:val="single" w:color="auto" w:sz="4" w:space="0"/>
              <w:bottom w:val="single" w:color="auto" w:sz="4" w:space="0"/>
              <w:right w:val="single" w:color="auto" w:sz="4" w:space="0"/>
            </w:tcBorders>
            <w:vAlign w:val="center"/>
          </w:tcPr>
          <w:p w14:paraId="1E6BB3E9">
            <w:pPr>
              <w:widowControl/>
              <w:jc w:val="center"/>
              <w:rPr>
                <w:kern w:val="0"/>
                <w:sz w:val="24"/>
              </w:rPr>
            </w:pPr>
          </w:p>
        </w:tc>
        <w:tc>
          <w:tcPr>
            <w:tcW w:w="2164" w:type="dxa"/>
            <w:gridSpan w:val="2"/>
            <w:tcBorders>
              <w:top w:val="single" w:color="auto" w:sz="4" w:space="0"/>
              <w:left w:val="nil"/>
              <w:bottom w:val="single" w:color="auto" w:sz="4" w:space="0"/>
              <w:right w:val="single" w:color="auto" w:sz="4" w:space="0"/>
            </w:tcBorders>
            <w:vAlign w:val="center"/>
          </w:tcPr>
          <w:p w14:paraId="24E1C2A5">
            <w:pPr>
              <w:widowControl/>
              <w:jc w:val="center"/>
              <w:rPr>
                <w:kern w:val="0"/>
                <w:sz w:val="24"/>
              </w:rPr>
            </w:pPr>
            <w:r>
              <w:rPr>
                <w:kern w:val="0"/>
                <w:sz w:val="24"/>
              </w:rPr>
              <w:t>校准地点</w:t>
            </w:r>
          </w:p>
        </w:tc>
        <w:tc>
          <w:tcPr>
            <w:tcW w:w="2302" w:type="dxa"/>
            <w:gridSpan w:val="2"/>
            <w:tcBorders>
              <w:top w:val="single" w:color="auto" w:sz="4" w:space="0"/>
              <w:left w:val="nil"/>
              <w:bottom w:val="single" w:color="auto" w:sz="4" w:space="0"/>
              <w:right w:val="single" w:color="auto" w:sz="4" w:space="0"/>
            </w:tcBorders>
            <w:vAlign w:val="center"/>
          </w:tcPr>
          <w:p w14:paraId="03F4F4FC">
            <w:pPr>
              <w:widowControl/>
              <w:jc w:val="center"/>
              <w:rPr>
                <w:kern w:val="0"/>
                <w:sz w:val="24"/>
              </w:rPr>
            </w:pPr>
          </w:p>
        </w:tc>
      </w:tr>
      <w:tr w14:paraId="7D4DD78A">
        <w:tblPrEx>
          <w:tblCellMar>
            <w:top w:w="0" w:type="dxa"/>
            <w:left w:w="108" w:type="dxa"/>
            <w:bottom w:w="0" w:type="dxa"/>
            <w:right w:w="108" w:type="dxa"/>
          </w:tblCellMar>
        </w:tblPrEx>
        <w:trPr>
          <w:trHeight w:val="47" w:hRule="atLeast"/>
          <w:jc w:val="center"/>
        </w:trPr>
        <w:tc>
          <w:tcPr>
            <w:tcW w:w="1630" w:type="dxa"/>
            <w:gridSpan w:val="2"/>
            <w:tcBorders>
              <w:top w:val="single" w:color="auto" w:sz="4" w:space="0"/>
              <w:left w:val="single" w:color="auto" w:sz="4" w:space="0"/>
              <w:bottom w:val="single" w:color="auto" w:sz="4" w:space="0"/>
              <w:right w:val="single" w:color="auto" w:sz="4" w:space="0"/>
            </w:tcBorders>
            <w:vAlign w:val="center"/>
          </w:tcPr>
          <w:p w14:paraId="77961D18">
            <w:pPr>
              <w:widowControl/>
              <w:jc w:val="center"/>
              <w:rPr>
                <w:kern w:val="0"/>
                <w:sz w:val="24"/>
              </w:rPr>
            </w:pPr>
            <w:r>
              <w:rPr>
                <w:kern w:val="0"/>
                <w:sz w:val="24"/>
              </w:rPr>
              <w:t>出厂编号</w:t>
            </w:r>
          </w:p>
        </w:tc>
        <w:tc>
          <w:tcPr>
            <w:tcW w:w="3047" w:type="dxa"/>
            <w:gridSpan w:val="3"/>
            <w:tcBorders>
              <w:top w:val="single" w:color="auto" w:sz="4" w:space="0"/>
              <w:left w:val="single" w:color="auto" w:sz="4" w:space="0"/>
              <w:bottom w:val="single" w:color="auto" w:sz="4" w:space="0"/>
              <w:right w:val="single" w:color="auto" w:sz="4" w:space="0"/>
            </w:tcBorders>
            <w:vAlign w:val="center"/>
          </w:tcPr>
          <w:p w14:paraId="54E70D64">
            <w:pPr>
              <w:widowControl/>
              <w:jc w:val="center"/>
              <w:rPr>
                <w:kern w:val="0"/>
                <w:sz w:val="24"/>
              </w:rPr>
            </w:pPr>
          </w:p>
        </w:tc>
        <w:tc>
          <w:tcPr>
            <w:tcW w:w="2164" w:type="dxa"/>
            <w:gridSpan w:val="2"/>
            <w:tcBorders>
              <w:top w:val="single" w:color="auto" w:sz="4" w:space="0"/>
              <w:left w:val="nil"/>
              <w:bottom w:val="single" w:color="auto" w:sz="4" w:space="0"/>
              <w:right w:val="single" w:color="auto" w:sz="4" w:space="0"/>
            </w:tcBorders>
            <w:vAlign w:val="center"/>
          </w:tcPr>
          <w:p w14:paraId="3EF98FEB">
            <w:pPr>
              <w:widowControl/>
              <w:jc w:val="center"/>
              <w:rPr>
                <w:kern w:val="0"/>
                <w:sz w:val="24"/>
              </w:rPr>
            </w:pPr>
            <w:r>
              <w:rPr>
                <w:kern w:val="0"/>
                <w:sz w:val="24"/>
              </w:rPr>
              <w:t>管理编号</w:t>
            </w:r>
          </w:p>
        </w:tc>
        <w:tc>
          <w:tcPr>
            <w:tcW w:w="2302" w:type="dxa"/>
            <w:gridSpan w:val="2"/>
            <w:tcBorders>
              <w:top w:val="single" w:color="auto" w:sz="4" w:space="0"/>
              <w:left w:val="nil"/>
              <w:bottom w:val="single" w:color="auto" w:sz="4" w:space="0"/>
              <w:right w:val="single" w:color="auto" w:sz="4" w:space="0"/>
            </w:tcBorders>
            <w:vAlign w:val="center"/>
          </w:tcPr>
          <w:p w14:paraId="0712F501">
            <w:pPr>
              <w:widowControl/>
              <w:jc w:val="center"/>
              <w:rPr>
                <w:kern w:val="0"/>
                <w:sz w:val="24"/>
              </w:rPr>
            </w:pPr>
          </w:p>
        </w:tc>
      </w:tr>
      <w:tr w14:paraId="754C92A4">
        <w:tblPrEx>
          <w:tblCellMar>
            <w:top w:w="0" w:type="dxa"/>
            <w:left w:w="108" w:type="dxa"/>
            <w:bottom w:w="0" w:type="dxa"/>
            <w:right w:w="108" w:type="dxa"/>
          </w:tblCellMar>
        </w:tblPrEx>
        <w:trPr>
          <w:trHeight w:val="47" w:hRule="atLeast"/>
          <w:jc w:val="center"/>
        </w:trPr>
        <w:tc>
          <w:tcPr>
            <w:tcW w:w="1630" w:type="dxa"/>
            <w:gridSpan w:val="2"/>
            <w:tcBorders>
              <w:top w:val="single" w:color="auto" w:sz="4" w:space="0"/>
              <w:left w:val="single" w:color="auto" w:sz="4" w:space="0"/>
              <w:bottom w:val="single" w:color="auto" w:sz="4" w:space="0"/>
              <w:right w:val="single" w:color="auto" w:sz="4" w:space="0"/>
            </w:tcBorders>
            <w:vAlign w:val="center"/>
          </w:tcPr>
          <w:p w14:paraId="2E52C178">
            <w:pPr>
              <w:widowControl/>
              <w:jc w:val="center"/>
              <w:rPr>
                <w:kern w:val="0"/>
                <w:sz w:val="24"/>
              </w:rPr>
            </w:pPr>
            <w:r>
              <w:rPr>
                <w:kern w:val="0"/>
                <w:sz w:val="24"/>
              </w:rPr>
              <w:t>环境温度</w:t>
            </w:r>
          </w:p>
        </w:tc>
        <w:tc>
          <w:tcPr>
            <w:tcW w:w="3047" w:type="dxa"/>
            <w:gridSpan w:val="3"/>
            <w:tcBorders>
              <w:top w:val="single" w:color="auto" w:sz="4" w:space="0"/>
              <w:left w:val="single" w:color="auto" w:sz="4" w:space="0"/>
              <w:bottom w:val="single" w:color="auto" w:sz="4" w:space="0"/>
              <w:right w:val="single" w:color="auto" w:sz="4" w:space="0"/>
            </w:tcBorders>
            <w:vAlign w:val="center"/>
          </w:tcPr>
          <w:p w14:paraId="37D4E7A5">
            <w:pPr>
              <w:widowControl/>
              <w:jc w:val="center"/>
              <w:rPr>
                <w:kern w:val="0"/>
                <w:sz w:val="24"/>
              </w:rPr>
            </w:pPr>
          </w:p>
        </w:tc>
        <w:tc>
          <w:tcPr>
            <w:tcW w:w="2164" w:type="dxa"/>
            <w:gridSpan w:val="2"/>
            <w:tcBorders>
              <w:top w:val="single" w:color="auto" w:sz="4" w:space="0"/>
              <w:left w:val="nil"/>
              <w:bottom w:val="single" w:color="auto" w:sz="4" w:space="0"/>
              <w:right w:val="single" w:color="auto" w:sz="4" w:space="0"/>
            </w:tcBorders>
            <w:vAlign w:val="center"/>
          </w:tcPr>
          <w:p w14:paraId="7DC7709E">
            <w:pPr>
              <w:widowControl/>
              <w:jc w:val="center"/>
              <w:rPr>
                <w:kern w:val="0"/>
                <w:sz w:val="24"/>
              </w:rPr>
            </w:pPr>
            <w:r>
              <w:rPr>
                <w:kern w:val="0"/>
                <w:sz w:val="24"/>
              </w:rPr>
              <w:t>相对湿度</w:t>
            </w:r>
          </w:p>
        </w:tc>
        <w:tc>
          <w:tcPr>
            <w:tcW w:w="2302" w:type="dxa"/>
            <w:gridSpan w:val="2"/>
            <w:tcBorders>
              <w:top w:val="single" w:color="auto" w:sz="4" w:space="0"/>
              <w:left w:val="nil"/>
              <w:bottom w:val="single" w:color="auto" w:sz="4" w:space="0"/>
              <w:right w:val="single" w:color="auto" w:sz="4" w:space="0"/>
            </w:tcBorders>
            <w:vAlign w:val="center"/>
          </w:tcPr>
          <w:p w14:paraId="673848C5">
            <w:pPr>
              <w:widowControl/>
              <w:jc w:val="center"/>
              <w:rPr>
                <w:kern w:val="0"/>
                <w:sz w:val="24"/>
              </w:rPr>
            </w:pPr>
          </w:p>
        </w:tc>
      </w:tr>
      <w:tr w14:paraId="1ABCB122">
        <w:tblPrEx>
          <w:tblCellMar>
            <w:top w:w="0" w:type="dxa"/>
            <w:left w:w="108" w:type="dxa"/>
            <w:bottom w:w="0" w:type="dxa"/>
            <w:right w:w="108" w:type="dxa"/>
          </w:tblCellMar>
        </w:tblPrEx>
        <w:trPr>
          <w:trHeight w:val="47" w:hRule="atLeast"/>
          <w:jc w:val="center"/>
        </w:trPr>
        <w:tc>
          <w:tcPr>
            <w:tcW w:w="9143" w:type="dxa"/>
            <w:gridSpan w:val="9"/>
            <w:tcBorders>
              <w:top w:val="single" w:color="auto" w:sz="4" w:space="0"/>
              <w:left w:val="single" w:color="auto" w:sz="4" w:space="0"/>
              <w:bottom w:val="single" w:color="auto" w:sz="4" w:space="0"/>
              <w:right w:val="single" w:color="auto" w:sz="4" w:space="0"/>
            </w:tcBorders>
            <w:vAlign w:val="center"/>
          </w:tcPr>
          <w:p w14:paraId="15A29F0F">
            <w:pPr>
              <w:widowControl/>
              <w:jc w:val="left"/>
              <w:rPr>
                <w:kern w:val="0"/>
                <w:sz w:val="24"/>
              </w:rPr>
            </w:pPr>
            <w:r>
              <w:rPr>
                <w:kern w:val="0"/>
                <w:sz w:val="24"/>
              </w:rPr>
              <w:t>本次校准所依据的方法规范：</w:t>
            </w:r>
          </w:p>
        </w:tc>
      </w:tr>
      <w:tr w14:paraId="7187E3F3">
        <w:tblPrEx>
          <w:tblCellMar>
            <w:top w:w="0" w:type="dxa"/>
            <w:left w:w="108" w:type="dxa"/>
            <w:bottom w:w="0" w:type="dxa"/>
            <w:right w:w="108" w:type="dxa"/>
          </w:tblCellMar>
        </w:tblPrEx>
        <w:trPr>
          <w:trHeight w:val="47" w:hRule="atLeast"/>
          <w:jc w:val="center"/>
        </w:trPr>
        <w:tc>
          <w:tcPr>
            <w:tcW w:w="9143" w:type="dxa"/>
            <w:gridSpan w:val="9"/>
            <w:tcBorders>
              <w:top w:val="single" w:color="auto" w:sz="4" w:space="0"/>
              <w:left w:val="single" w:color="auto" w:sz="4" w:space="0"/>
              <w:bottom w:val="single" w:color="auto" w:sz="4" w:space="0"/>
              <w:right w:val="single" w:color="auto" w:sz="4" w:space="0"/>
            </w:tcBorders>
            <w:vAlign w:val="center"/>
          </w:tcPr>
          <w:p w14:paraId="53E41F0C">
            <w:pPr>
              <w:widowControl/>
              <w:jc w:val="center"/>
              <w:rPr>
                <w:kern w:val="0"/>
                <w:sz w:val="24"/>
              </w:rPr>
            </w:pPr>
          </w:p>
        </w:tc>
      </w:tr>
      <w:tr w14:paraId="25815893">
        <w:tblPrEx>
          <w:tblCellMar>
            <w:top w:w="0" w:type="dxa"/>
            <w:left w:w="108" w:type="dxa"/>
            <w:bottom w:w="0" w:type="dxa"/>
            <w:right w:w="108" w:type="dxa"/>
          </w:tblCellMar>
        </w:tblPrEx>
        <w:trPr>
          <w:trHeight w:val="47" w:hRule="atLeast"/>
          <w:jc w:val="center"/>
        </w:trPr>
        <w:tc>
          <w:tcPr>
            <w:tcW w:w="9143" w:type="dxa"/>
            <w:gridSpan w:val="9"/>
            <w:tcBorders>
              <w:top w:val="single" w:color="auto" w:sz="4" w:space="0"/>
              <w:left w:val="single" w:color="auto" w:sz="4" w:space="0"/>
              <w:bottom w:val="single" w:color="auto" w:sz="4" w:space="0"/>
              <w:right w:val="single" w:color="auto" w:sz="4" w:space="0"/>
            </w:tcBorders>
            <w:vAlign w:val="center"/>
          </w:tcPr>
          <w:p w14:paraId="0540E442">
            <w:pPr>
              <w:widowControl/>
              <w:jc w:val="left"/>
              <w:rPr>
                <w:kern w:val="0"/>
                <w:sz w:val="24"/>
              </w:rPr>
            </w:pPr>
            <w:r>
              <w:rPr>
                <w:kern w:val="0"/>
                <w:sz w:val="24"/>
              </w:rPr>
              <w:t>本次校准所使用的主要计量器具：</w:t>
            </w:r>
          </w:p>
        </w:tc>
      </w:tr>
      <w:tr w14:paraId="0DD024AC">
        <w:tblPrEx>
          <w:tblCellMar>
            <w:top w:w="0" w:type="dxa"/>
            <w:left w:w="108" w:type="dxa"/>
            <w:bottom w:w="0" w:type="dxa"/>
            <w:right w:w="108" w:type="dxa"/>
          </w:tblCellMar>
        </w:tblPrEx>
        <w:trPr>
          <w:trHeight w:val="792" w:hRule="atLeast"/>
          <w:jc w:val="center"/>
        </w:trPr>
        <w:tc>
          <w:tcPr>
            <w:tcW w:w="921" w:type="dxa"/>
            <w:tcBorders>
              <w:top w:val="single" w:color="auto" w:sz="4" w:space="0"/>
              <w:left w:val="single" w:color="auto" w:sz="4" w:space="0"/>
              <w:bottom w:val="single" w:color="auto" w:sz="4" w:space="0"/>
              <w:right w:val="single" w:color="auto" w:sz="4" w:space="0"/>
            </w:tcBorders>
            <w:vAlign w:val="center"/>
          </w:tcPr>
          <w:p w14:paraId="6E2FB366">
            <w:pPr>
              <w:widowControl/>
              <w:jc w:val="center"/>
              <w:rPr>
                <w:kern w:val="0"/>
                <w:sz w:val="24"/>
              </w:rPr>
            </w:pPr>
            <w:r>
              <w:rPr>
                <w:kern w:val="0"/>
                <w:sz w:val="24"/>
              </w:rPr>
              <w:t>名称</w:t>
            </w:r>
          </w:p>
        </w:tc>
        <w:tc>
          <w:tcPr>
            <w:tcW w:w="709" w:type="dxa"/>
            <w:tcBorders>
              <w:top w:val="single" w:color="auto" w:sz="4" w:space="0"/>
              <w:left w:val="single" w:color="auto" w:sz="4" w:space="0"/>
              <w:bottom w:val="single" w:color="auto" w:sz="4" w:space="0"/>
              <w:right w:val="single" w:color="auto" w:sz="4" w:space="0"/>
            </w:tcBorders>
            <w:vAlign w:val="center"/>
          </w:tcPr>
          <w:p w14:paraId="37025281">
            <w:pPr>
              <w:widowControl/>
              <w:jc w:val="center"/>
              <w:rPr>
                <w:kern w:val="0"/>
                <w:sz w:val="24"/>
              </w:rPr>
            </w:pPr>
            <w:r>
              <w:rPr>
                <w:kern w:val="0"/>
                <w:sz w:val="24"/>
              </w:rPr>
              <w:t>编号</w:t>
            </w:r>
          </w:p>
        </w:tc>
        <w:tc>
          <w:tcPr>
            <w:tcW w:w="1276" w:type="dxa"/>
            <w:tcBorders>
              <w:top w:val="single" w:color="auto" w:sz="4" w:space="0"/>
              <w:left w:val="single" w:color="auto" w:sz="4" w:space="0"/>
              <w:bottom w:val="single" w:color="auto" w:sz="4" w:space="0"/>
              <w:right w:val="single" w:color="auto" w:sz="4" w:space="0"/>
            </w:tcBorders>
            <w:vAlign w:val="center"/>
          </w:tcPr>
          <w:p w14:paraId="6F2401D7">
            <w:pPr>
              <w:widowControl/>
              <w:jc w:val="center"/>
              <w:rPr>
                <w:kern w:val="0"/>
                <w:sz w:val="24"/>
              </w:rPr>
            </w:pPr>
            <w:r>
              <w:rPr>
                <w:kern w:val="0"/>
                <w:sz w:val="24"/>
              </w:rPr>
              <w:t>测量范围</w:t>
            </w:r>
          </w:p>
        </w:tc>
        <w:tc>
          <w:tcPr>
            <w:tcW w:w="1327" w:type="dxa"/>
            <w:tcBorders>
              <w:top w:val="single" w:color="auto" w:sz="4" w:space="0"/>
              <w:left w:val="nil"/>
              <w:bottom w:val="single" w:color="auto" w:sz="4" w:space="0"/>
              <w:right w:val="single" w:color="auto" w:sz="4" w:space="0"/>
            </w:tcBorders>
            <w:vAlign w:val="center"/>
          </w:tcPr>
          <w:p w14:paraId="53679349">
            <w:pPr>
              <w:widowControl/>
              <w:jc w:val="center"/>
              <w:rPr>
                <w:kern w:val="0"/>
                <w:sz w:val="24"/>
              </w:rPr>
            </w:pPr>
            <w:r>
              <w:rPr>
                <w:kern w:val="0"/>
                <w:sz w:val="24"/>
              </w:rPr>
              <w:t>型号规格</w:t>
            </w:r>
          </w:p>
        </w:tc>
        <w:tc>
          <w:tcPr>
            <w:tcW w:w="1758" w:type="dxa"/>
            <w:gridSpan w:val="2"/>
            <w:tcBorders>
              <w:top w:val="single" w:color="auto" w:sz="4" w:space="0"/>
              <w:left w:val="nil"/>
              <w:bottom w:val="single" w:color="auto" w:sz="4" w:space="0"/>
              <w:right w:val="single" w:color="auto" w:sz="4" w:space="0"/>
            </w:tcBorders>
            <w:vAlign w:val="center"/>
          </w:tcPr>
          <w:p w14:paraId="478A2CDD">
            <w:pPr>
              <w:widowControl/>
              <w:jc w:val="center"/>
              <w:rPr>
                <w:kern w:val="0"/>
                <w:sz w:val="24"/>
              </w:rPr>
            </w:pPr>
            <w:r>
              <w:rPr>
                <w:kern w:val="0"/>
                <w:sz w:val="24"/>
              </w:rPr>
              <w:t>不确定度或准确度等级或最大允许误差</w:t>
            </w:r>
          </w:p>
        </w:tc>
        <w:tc>
          <w:tcPr>
            <w:tcW w:w="850" w:type="dxa"/>
            <w:tcBorders>
              <w:top w:val="single" w:color="auto" w:sz="4" w:space="0"/>
              <w:left w:val="nil"/>
              <w:bottom w:val="single" w:color="auto" w:sz="4" w:space="0"/>
              <w:right w:val="single" w:color="auto" w:sz="4" w:space="0"/>
            </w:tcBorders>
            <w:vAlign w:val="center"/>
          </w:tcPr>
          <w:p w14:paraId="1AE7EFDB">
            <w:pPr>
              <w:widowControl/>
              <w:jc w:val="center"/>
              <w:rPr>
                <w:kern w:val="0"/>
                <w:sz w:val="24"/>
              </w:rPr>
            </w:pPr>
            <w:r>
              <w:rPr>
                <w:kern w:val="0"/>
                <w:sz w:val="24"/>
              </w:rPr>
              <w:t>证书编号</w:t>
            </w:r>
          </w:p>
        </w:tc>
        <w:tc>
          <w:tcPr>
            <w:tcW w:w="992" w:type="dxa"/>
            <w:tcBorders>
              <w:top w:val="single" w:color="auto" w:sz="4" w:space="0"/>
              <w:left w:val="nil"/>
              <w:bottom w:val="single" w:color="auto" w:sz="4" w:space="0"/>
              <w:right w:val="single" w:color="auto" w:sz="4" w:space="0"/>
            </w:tcBorders>
            <w:vAlign w:val="center"/>
          </w:tcPr>
          <w:p w14:paraId="4EE968AB">
            <w:pPr>
              <w:widowControl/>
              <w:jc w:val="center"/>
              <w:rPr>
                <w:kern w:val="0"/>
                <w:sz w:val="24"/>
              </w:rPr>
            </w:pPr>
            <w:r>
              <w:rPr>
                <w:kern w:val="0"/>
                <w:sz w:val="24"/>
              </w:rPr>
              <w:t>证书有效期</w:t>
            </w:r>
          </w:p>
        </w:tc>
        <w:tc>
          <w:tcPr>
            <w:tcW w:w="1310" w:type="dxa"/>
            <w:tcBorders>
              <w:top w:val="single" w:color="auto" w:sz="4" w:space="0"/>
              <w:left w:val="nil"/>
              <w:bottom w:val="single" w:color="auto" w:sz="4" w:space="0"/>
              <w:right w:val="single" w:color="auto" w:sz="4" w:space="0"/>
            </w:tcBorders>
            <w:vAlign w:val="center"/>
          </w:tcPr>
          <w:p w14:paraId="6B61463B">
            <w:pPr>
              <w:widowControl/>
              <w:jc w:val="center"/>
              <w:rPr>
                <w:kern w:val="0"/>
                <w:sz w:val="24"/>
              </w:rPr>
            </w:pPr>
            <w:r>
              <w:rPr>
                <w:kern w:val="0"/>
                <w:sz w:val="24"/>
              </w:rPr>
              <w:t>溯源机构</w:t>
            </w:r>
          </w:p>
        </w:tc>
      </w:tr>
      <w:tr w14:paraId="0FFF91E3">
        <w:tblPrEx>
          <w:tblCellMar>
            <w:top w:w="0" w:type="dxa"/>
            <w:left w:w="108" w:type="dxa"/>
            <w:bottom w:w="0" w:type="dxa"/>
            <w:right w:w="108" w:type="dxa"/>
          </w:tblCellMar>
        </w:tblPrEx>
        <w:trPr>
          <w:trHeight w:val="112" w:hRule="atLeast"/>
          <w:jc w:val="center"/>
        </w:trPr>
        <w:tc>
          <w:tcPr>
            <w:tcW w:w="921" w:type="dxa"/>
            <w:tcBorders>
              <w:top w:val="single" w:color="auto" w:sz="4" w:space="0"/>
              <w:left w:val="single" w:color="auto" w:sz="4" w:space="0"/>
              <w:bottom w:val="single" w:color="auto" w:sz="4" w:space="0"/>
              <w:right w:val="single" w:color="auto" w:sz="4" w:space="0"/>
            </w:tcBorders>
            <w:vAlign w:val="center"/>
          </w:tcPr>
          <w:p w14:paraId="051B88DE">
            <w:pPr>
              <w:widowControl/>
              <w:jc w:val="center"/>
              <w:rPr>
                <w:kern w:val="0"/>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0C5E70D6">
            <w:pPr>
              <w:widowControl/>
              <w:jc w:val="center"/>
              <w:rPr>
                <w:kern w:val="0"/>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1E1B8076">
            <w:pPr>
              <w:widowControl/>
              <w:jc w:val="center"/>
              <w:rPr>
                <w:kern w:val="0"/>
                <w:sz w:val="24"/>
              </w:rPr>
            </w:pPr>
          </w:p>
        </w:tc>
        <w:tc>
          <w:tcPr>
            <w:tcW w:w="1327" w:type="dxa"/>
            <w:tcBorders>
              <w:top w:val="single" w:color="auto" w:sz="4" w:space="0"/>
              <w:left w:val="nil"/>
              <w:bottom w:val="single" w:color="auto" w:sz="4" w:space="0"/>
              <w:right w:val="single" w:color="auto" w:sz="4" w:space="0"/>
            </w:tcBorders>
            <w:vAlign w:val="center"/>
          </w:tcPr>
          <w:p w14:paraId="201BE39E">
            <w:pPr>
              <w:widowControl/>
              <w:jc w:val="center"/>
              <w:rPr>
                <w:kern w:val="0"/>
                <w:sz w:val="24"/>
              </w:rPr>
            </w:pPr>
          </w:p>
        </w:tc>
        <w:tc>
          <w:tcPr>
            <w:tcW w:w="1758" w:type="dxa"/>
            <w:gridSpan w:val="2"/>
            <w:tcBorders>
              <w:top w:val="single" w:color="auto" w:sz="4" w:space="0"/>
              <w:left w:val="nil"/>
              <w:bottom w:val="single" w:color="auto" w:sz="4" w:space="0"/>
              <w:right w:val="single" w:color="auto" w:sz="4" w:space="0"/>
            </w:tcBorders>
            <w:vAlign w:val="center"/>
          </w:tcPr>
          <w:p w14:paraId="68F7F971">
            <w:pPr>
              <w:widowControl/>
              <w:jc w:val="center"/>
              <w:rPr>
                <w:kern w:val="0"/>
                <w:sz w:val="24"/>
              </w:rPr>
            </w:pPr>
          </w:p>
        </w:tc>
        <w:tc>
          <w:tcPr>
            <w:tcW w:w="850" w:type="dxa"/>
            <w:tcBorders>
              <w:top w:val="single" w:color="auto" w:sz="4" w:space="0"/>
              <w:left w:val="nil"/>
              <w:bottom w:val="single" w:color="auto" w:sz="4" w:space="0"/>
              <w:right w:val="single" w:color="auto" w:sz="4" w:space="0"/>
            </w:tcBorders>
            <w:vAlign w:val="center"/>
          </w:tcPr>
          <w:p w14:paraId="0C29441D">
            <w:pPr>
              <w:widowControl/>
              <w:jc w:val="center"/>
              <w:rPr>
                <w:kern w:val="0"/>
                <w:sz w:val="24"/>
              </w:rPr>
            </w:pPr>
          </w:p>
        </w:tc>
        <w:tc>
          <w:tcPr>
            <w:tcW w:w="992" w:type="dxa"/>
            <w:tcBorders>
              <w:top w:val="single" w:color="auto" w:sz="4" w:space="0"/>
              <w:left w:val="nil"/>
              <w:bottom w:val="single" w:color="auto" w:sz="4" w:space="0"/>
              <w:right w:val="single" w:color="auto" w:sz="4" w:space="0"/>
            </w:tcBorders>
            <w:vAlign w:val="center"/>
          </w:tcPr>
          <w:p w14:paraId="2626BAC5">
            <w:pPr>
              <w:widowControl/>
              <w:jc w:val="center"/>
              <w:rPr>
                <w:kern w:val="0"/>
                <w:sz w:val="24"/>
              </w:rPr>
            </w:pPr>
          </w:p>
        </w:tc>
        <w:tc>
          <w:tcPr>
            <w:tcW w:w="1310" w:type="dxa"/>
            <w:tcBorders>
              <w:top w:val="single" w:color="auto" w:sz="4" w:space="0"/>
              <w:left w:val="nil"/>
              <w:bottom w:val="single" w:color="auto" w:sz="4" w:space="0"/>
              <w:right w:val="single" w:color="auto" w:sz="4" w:space="0"/>
            </w:tcBorders>
            <w:vAlign w:val="center"/>
          </w:tcPr>
          <w:p w14:paraId="36D7CDD1">
            <w:pPr>
              <w:widowControl/>
              <w:jc w:val="center"/>
              <w:rPr>
                <w:kern w:val="0"/>
                <w:sz w:val="24"/>
              </w:rPr>
            </w:pPr>
          </w:p>
        </w:tc>
      </w:tr>
      <w:tr w14:paraId="46D4E0A6">
        <w:tblPrEx>
          <w:tblCellMar>
            <w:top w:w="0" w:type="dxa"/>
            <w:left w:w="108" w:type="dxa"/>
            <w:bottom w:w="0" w:type="dxa"/>
            <w:right w:w="108" w:type="dxa"/>
          </w:tblCellMar>
        </w:tblPrEx>
        <w:trPr>
          <w:trHeight w:val="47" w:hRule="atLeast"/>
          <w:jc w:val="center"/>
        </w:trPr>
        <w:tc>
          <w:tcPr>
            <w:tcW w:w="921" w:type="dxa"/>
            <w:tcBorders>
              <w:top w:val="single" w:color="auto" w:sz="4" w:space="0"/>
              <w:left w:val="single" w:color="auto" w:sz="4" w:space="0"/>
              <w:bottom w:val="single" w:color="auto" w:sz="4" w:space="0"/>
              <w:right w:val="single" w:color="auto" w:sz="4" w:space="0"/>
            </w:tcBorders>
            <w:vAlign w:val="center"/>
          </w:tcPr>
          <w:p w14:paraId="5A8C6577">
            <w:pPr>
              <w:widowControl/>
              <w:jc w:val="center"/>
              <w:rPr>
                <w:kern w:val="0"/>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571D6251">
            <w:pPr>
              <w:widowControl/>
              <w:jc w:val="center"/>
              <w:rPr>
                <w:kern w:val="0"/>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1D51A055">
            <w:pPr>
              <w:widowControl/>
              <w:jc w:val="center"/>
              <w:rPr>
                <w:kern w:val="0"/>
                <w:sz w:val="24"/>
              </w:rPr>
            </w:pPr>
          </w:p>
        </w:tc>
        <w:tc>
          <w:tcPr>
            <w:tcW w:w="1327" w:type="dxa"/>
            <w:tcBorders>
              <w:top w:val="single" w:color="auto" w:sz="4" w:space="0"/>
              <w:left w:val="nil"/>
              <w:bottom w:val="single" w:color="auto" w:sz="4" w:space="0"/>
              <w:right w:val="single" w:color="auto" w:sz="4" w:space="0"/>
            </w:tcBorders>
            <w:vAlign w:val="center"/>
          </w:tcPr>
          <w:p w14:paraId="5F80ADBA">
            <w:pPr>
              <w:widowControl/>
              <w:jc w:val="center"/>
              <w:rPr>
                <w:kern w:val="0"/>
                <w:sz w:val="24"/>
              </w:rPr>
            </w:pPr>
          </w:p>
        </w:tc>
        <w:tc>
          <w:tcPr>
            <w:tcW w:w="1758" w:type="dxa"/>
            <w:gridSpan w:val="2"/>
            <w:tcBorders>
              <w:top w:val="single" w:color="auto" w:sz="4" w:space="0"/>
              <w:left w:val="nil"/>
              <w:bottom w:val="single" w:color="auto" w:sz="4" w:space="0"/>
              <w:right w:val="single" w:color="auto" w:sz="4" w:space="0"/>
            </w:tcBorders>
            <w:vAlign w:val="center"/>
          </w:tcPr>
          <w:p w14:paraId="66959208">
            <w:pPr>
              <w:widowControl/>
              <w:jc w:val="center"/>
              <w:rPr>
                <w:kern w:val="0"/>
                <w:sz w:val="24"/>
              </w:rPr>
            </w:pPr>
          </w:p>
        </w:tc>
        <w:tc>
          <w:tcPr>
            <w:tcW w:w="850" w:type="dxa"/>
            <w:tcBorders>
              <w:top w:val="single" w:color="auto" w:sz="4" w:space="0"/>
              <w:left w:val="nil"/>
              <w:bottom w:val="single" w:color="auto" w:sz="4" w:space="0"/>
              <w:right w:val="single" w:color="auto" w:sz="4" w:space="0"/>
            </w:tcBorders>
            <w:vAlign w:val="center"/>
          </w:tcPr>
          <w:p w14:paraId="13103877">
            <w:pPr>
              <w:widowControl/>
              <w:jc w:val="center"/>
              <w:rPr>
                <w:kern w:val="0"/>
                <w:sz w:val="24"/>
              </w:rPr>
            </w:pPr>
          </w:p>
        </w:tc>
        <w:tc>
          <w:tcPr>
            <w:tcW w:w="992" w:type="dxa"/>
            <w:tcBorders>
              <w:top w:val="single" w:color="auto" w:sz="4" w:space="0"/>
              <w:left w:val="nil"/>
              <w:bottom w:val="single" w:color="auto" w:sz="4" w:space="0"/>
              <w:right w:val="single" w:color="auto" w:sz="4" w:space="0"/>
            </w:tcBorders>
            <w:vAlign w:val="center"/>
          </w:tcPr>
          <w:p w14:paraId="7052F4DC">
            <w:pPr>
              <w:widowControl/>
              <w:jc w:val="center"/>
              <w:rPr>
                <w:kern w:val="0"/>
                <w:sz w:val="24"/>
              </w:rPr>
            </w:pPr>
          </w:p>
        </w:tc>
        <w:tc>
          <w:tcPr>
            <w:tcW w:w="1310" w:type="dxa"/>
            <w:tcBorders>
              <w:top w:val="single" w:color="auto" w:sz="4" w:space="0"/>
              <w:left w:val="nil"/>
              <w:bottom w:val="single" w:color="auto" w:sz="4" w:space="0"/>
              <w:right w:val="single" w:color="auto" w:sz="4" w:space="0"/>
            </w:tcBorders>
            <w:vAlign w:val="center"/>
          </w:tcPr>
          <w:p w14:paraId="39888EA3">
            <w:pPr>
              <w:widowControl/>
              <w:jc w:val="center"/>
              <w:rPr>
                <w:kern w:val="0"/>
                <w:sz w:val="24"/>
              </w:rPr>
            </w:pPr>
          </w:p>
        </w:tc>
      </w:tr>
      <w:tr w14:paraId="12BAC5C4">
        <w:tblPrEx>
          <w:tblCellMar>
            <w:top w:w="0" w:type="dxa"/>
            <w:left w:w="108" w:type="dxa"/>
            <w:bottom w:w="0" w:type="dxa"/>
            <w:right w:w="108" w:type="dxa"/>
          </w:tblCellMar>
        </w:tblPrEx>
        <w:trPr>
          <w:trHeight w:val="47" w:hRule="atLeast"/>
          <w:jc w:val="center"/>
        </w:trPr>
        <w:tc>
          <w:tcPr>
            <w:tcW w:w="921" w:type="dxa"/>
            <w:tcBorders>
              <w:top w:val="single" w:color="auto" w:sz="4" w:space="0"/>
              <w:left w:val="single" w:color="auto" w:sz="4" w:space="0"/>
              <w:bottom w:val="single" w:color="auto" w:sz="4" w:space="0"/>
              <w:right w:val="single" w:color="auto" w:sz="4" w:space="0"/>
            </w:tcBorders>
            <w:vAlign w:val="center"/>
          </w:tcPr>
          <w:p w14:paraId="6FBB2D8C">
            <w:pPr>
              <w:widowControl/>
              <w:jc w:val="center"/>
              <w:rPr>
                <w:kern w:val="0"/>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7ACF4D9D">
            <w:pPr>
              <w:widowControl/>
              <w:jc w:val="center"/>
              <w:rPr>
                <w:kern w:val="0"/>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7DE186AE">
            <w:pPr>
              <w:widowControl/>
              <w:jc w:val="center"/>
              <w:rPr>
                <w:kern w:val="0"/>
                <w:sz w:val="24"/>
              </w:rPr>
            </w:pPr>
          </w:p>
        </w:tc>
        <w:tc>
          <w:tcPr>
            <w:tcW w:w="1327" w:type="dxa"/>
            <w:tcBorders>
              <w:top w:val="single" w:color="auto" w:sz="4" w:space="0"/>
              <w:left w:val="nil"/>
              <w:bottom w:val="single" w:color="auto" w:sz="4" w:space="0"/>
              <w:right w:val="single" w:color="auto" w:sz="4" w:space="0"/>
            </w:tcBorders>
            <w:vAlign w:val="center"/>
          </w:tcPr>
          <w:p w14:paraId="4FF8AAC9">
            <w:pPr>
              <w:widowControl/>
              <w:jc w:val="center"/>
              <w:rPr>
                <w:kern w:val="0"/>
                <w:sz w:val="24"/>
              </w:rPr>
            </w:pPr>
          </w:p>
        </w:tc>
        <w:tc>
          <w:tcPr>
            <w:tcW w:w="1758" w:type="dxa"/>
            <w:gridSpan w:val="2"/>
            <w:tcBorders>
              <w:top w:val="single" w:color="auto" w:sz="4" w:space="0"/>
              <w:left w:val="nil"/>
              <w:bottom w:val="single" w:color="auto" w:sz="4" w:space="0"/>
              <w:right w:val="single" w:color="auto" w:sz="4" w:space="0"/>
            </w:tcBorders>
            <w:vAlign w:val="center"/>
          </w:tcPr>
          <w:p w14:paraId="11BCB850">
            <w:pPr>
              <w:widowControl/>
              <w:jc w:val="center"/>
              <w:rPr>
                <w:kern w:val="0"/>
                <w:sz w:val="24"/>
              </w:rPr>
            </w:pPr>
          </w:p>
        </w:tc>
        <w:tc>
          <w:tcPr>
            <w:tcW w:w="850" w:type="dxa"/>
            <w:tcBorders>
              <w:top w:val="single" w:color="auto" w:sz="4" w:space="0"/>
              <w:left w:val="nil"/>
              <w:bottom w:val="single" w:color="auto" w:sz="4" w:space="0"/>
              <w:right w:val="single" w:color="auto" w:sz="4" w:space="0"/>
            </w:tcBorders>
            <w:vAlign w:val="center"/>
          </w:tcPr>
          <w:p w14:paraId="0FF79FFE">
            <w:pPr>
              <w:widowControl/>
              <w:jc w:val="center"/>
              <w:rPr>
                <w:kern w:val="0"/>
                <w:sz w:val="24"/>
              </w:rPr>
            </w:pPr>
          </w:p>
        </w:tc>
        <w:tc>
          <w:tcPr>
            <w:tcW w:w="992" w:type="dxa"/>
            <w:tcBorders>
              <w:top w:val="single" w:color="auto" w:sz="4" w:space="0"/>
              <w:left w:val="nil"/>
              <w:bottom w:val="single" w:color="auto" w:sz="4" w:space="0"/>
              <w:right w:val="single" w:color="auto" w:sz="4" w:space="0"/>
            </w:tcBorders>
            <w:vAlign w:val="center"/>
          </w:tcPr>
          <w:p w14:paraId="29C19F54">
            <w:pPr>
              <w:widowControl/>
              <w:jc w:val="center"/>
              <w:rPr>
                <w:kern w:val="0"/>
                <w:sz w:val="24"/>
              </w:rPr>
            </w:pPr>
          </w:p>
        </w:tc>
        <w:tc>
          <w:tcPr>
            <w:tcW w:w="1310" w:type="dxa"/>
            <w:tcBorders>
              <w:top w:val="single" w:color="auto" w:sz="4" w:space="0"/>
              <w:left w:val="nil"/>
              <w:bottom w:val="single" w:color="auto" w:sz="4" w:space="0"/>
              <w:right w:val="single" w:color="auto" w:sz="4" w:space="0"/>
            </w:tcBorders>
            <w:vAlign w:val="center"/>
          </w:tcPr>
          <w:p w14:paraId="040A1B02">
            <w:pPr>
              <w:widowControl/>
              <w:jc w:val="center"/>
              <w:rPr>
                <w:kern w:val="0"/>
                <w:sz w:val="24"/>
              </w:rPr>
            </w:pPr>
          </w:p>
        </w:tc>
      </w:tr>
      <w:tr w14:paraId="3E006E11">
        <w:tblPrEx>
          <w:tblCellMar>
            <w:top w:w="0" w:type="dxa"/>
            <w:left w:w="108" w:type="dxa"/>
            <w:bottom w:w="0" w:type="dxa"/>
            <w:right w:w="108" w:type="dxa"/>
          </w:tblCellMar>
        </w:tblPrEx>
        <w:trPr>
          <w:trHeight w:val="47" w:hRule="atLeast"/>
          <w:jc w:val="center"/>
        </w:trPr>
        <w:tc>
          <w:tcPr>
            <w:tcW w:w="1630" w:type="dxa"/>
            <w:gridSpan w:val="2"/>
            <w:tcBorders>
              <w:top w:val="single" w:color="auto" w:sz="4" w:space="0"/>
              <w:left w:val="single" w:color="auto" w:sz="4" w:space="0"/>
              <w:bottom w:val="single" w:color="auto" w:sz="4" w:space="0"/>
              <w:right w:val="single" w:color="auto" w:sz="4" w:space="0"/>
            </w:tcBorders>
            <w:vAlign w:val="center"/>
          </w:tcPr>
          <w:p w14:paraId="22419FDC">
            <w:pPr>
              <w:widowControl/>
              <w:jc w:val="center"/>
              <w:rPr>
                <w:kern w:val="0"/>
                <w:sz w:val="24"/>
              </w:rPr>
            </w:pPr>
            <w:r>
              <w:rPr>
                <w:kern w:val="0"/>
                <w:sz w:val="24"/>
              </w:rPr>
              <w:t>校准日期</w:t>
            </w:r>
          </w:p>
        </w:tc>
        <w:tc>
          <w:tcPr>
            <w:tcW w:w="7513" w:type="dxa"/>
            <w:gridSpan w:val="7"/>
            <w:tcBorders>
              <w:top w:val="single" w:color="auto" w:sz="4" w:space="0"/>
              <w:left w:val="single" w:color="auto" w:sz="4" w:space="0"/>
              <w:bottom w:val="single" w:color="auto" w:sz="4" w:space="0"/>
              <w:right w:val="single" w:color="auto" w:sz="4" w:space="0"/>
            </w:tcBorders>
            <w:vAlign w:val="center"/>
          </w:tcPr>
          <w:p w14:paraId="4A9E827A">
            <w:pPr>
              <w:widowControl/>
              <w:jc w:val="center"/>
              <w:rPr>
                <w:kern w:val="0"/>
                <w:sz w:val="24"/>
              </w:rPr>
            </w:pPr>
          </w:p>
        </w:tc>
      </w:tr>
    </w:tbl>
    <w:p w14:paraId="7A33E11E">
      <w:pPr>
        <w:widowControl/>
        <w:ind w:right="960"/>
        <w:rPr>
          <w:bCs/>
          <w:kern w:val="44"/>
          <w:sz w:val="24"/>
        </w:rPr>
      </w:pPr>
    </w:p>
    <w:p w14:paraId="28831EBE">
      <w:pPr>
        <w:pStyle w:val="138"/>
        <w:numPr>
          <w:ilvl w:val="0"/>
          <w:numId w:val="11"/>
        </w:numPr>
        <w:ind w:firstLineChars="0"/>
        <w:rPr>
          <w:rFonts w:hint="eastAsia"/>
          <w:bCs/>
          <w:kern w:val="44"/>
        </w:rPr>
      </w:pPr>
      <w:r>
        <w:rPr>
          <w:rFonts w:hint="eastAsia"/>
          <w:bCs/>
          <w:kern w:val="44"/>
        </w:rPr>
        <w:t>校准前检查</w:t>
      </w:r>
    </w:p>
    <w:tbl>
      <w:tblPr>
        <w:tblStyle w:val="35"/>
        <w:tblW w:w="9143" w:type="dxa"/>
        <w:jc w:val="center"/>
        <w:tblLayout w:type="fixed"/>
        <w:tblCellMar>
          <w:top w:w="0" w:type="dxa"/>
          <w:left w:w="108" w:type="dxa"/>
          <w:bottom w:w="0" w:type="dxa"/>
          <w:right w:w="108" w:type="dxa"/>
        </w:tblCellMar>
      </w:tblPr>
      <w:tblGrid>
        <w:gridCol w:w="1630"/>
        <w:gridCol w:w="1922"/>
        <w:gridCol w:w="1985"/>
        <w:gridCol w:w="1701"/>
        <w:gridCol w:w="1905"/>
      </w:tblGrid>
      <w:tr w14:paraId="2F0A0908">
        <w:tblPrEx>
          <w:tblCellMar>
            <w:top w:w="0" w:type="dxa"/>
            <w:left w:w="108" w:type="dxa"/>
            <w:bottom w:w="0" w:type="dxa"/>
            <w:right w:w="108" w:type="dxa"/>
          </w:tblCellMar>
        </w:tblPrEx>
        <w:trPr>
          <w:trHeight w:val="312" w:hRule="atLeast"/>
          <w:jc w:val="center"/>
        </w:trPr>
        <w:tc>
          <w:tcPr>
            <w:tcW w:w="1630" w:type="dxa"/>
            <w:tcBorders>
              <w:top w:val="single" w:color="auto" w:sz="4" w:space="0"/>
              <w:left w:val="single" w:color="auto" w:sz="4" w:space="0"/>
              <w:bottom w:val="single" w:color="auto" w:sz="4" w:space="0"/>
              <w:right w:val="single" w:color="auto" w:sz="4" w:space="0"/>
            </w:tcBorders>
            <w:vAlign w:val="center"/>
          </w:tcPr>
          <w:p w14:paraId="369252F1">
            <w:pPr>
              <w:widowControl/>
              <w:jc w:val="center"/>
              <w:rPr>
                <w:kern w:val="0"/>
                <w:sz w:val="24"/>
              </w:rPr>
            </w:pPr>
            <w:r>
              <w:rPr>
                <w:rFonts w:hint="eastAsia"/>
                <w:kern w:val="0"/>
                <w:sz w:val="24"/>
              </w:rPr>
              <w:t>检查项目</w:t>
            </w:r>
          </w:p>
        </w:tc>
        <w:tc>
          <w:tcPr>
            <w:tcW w:w="1922" w:type="dxa"/>
            <w:tcBorders>
              <w:top w:val="single" w:color="auto" w:sz="4" w:space="0"/>
              <w:left w:val="single" w:color="auto" w:sz="4" w:space="0"/>
              <w:bottom w:val="single" w:color="auto" w:sz="4" w:space="0"/>
              <w:right w:val="single" w:color="auto" w:sz="4" w:space="0"/>
            </w:tcBorders>
            <w:vAlign w:val="center"/>
          </w:tcPr>
          <w:p w14:paraId="4B838774">
            <w:pPr>
              <w:widowControl/>
              <w:jc w:val="center"/>
              <w:rPr>
                <w:kern w:val="0"/>
                <w:sz w:val="24"/>
              </w:rPr>
            </w:pPr>
            <w:r>
              <w:rPr>
                <w:rFonts w:hint="eastAsia"/>
                <w:kern w:val="0"/>
                <w:sz w:val="24"/>
              </w:rPr>
              <w:t>外观</w:t>
            </w:r>
          </w:p>
        </w:tc>
        <w:tc>
          <w:tcPr>
            <w:tcW w:w="1985" w:type="dxa"/>
            <w:tcBorders>
              <w:top w:val="single" w:color="auto" w:sz="4" w:space="0"/>
              <w:left w:val="nil"/>
              <w:bottom w:val="single" w:color="auto" w:sz="4" w:space="0"/>
              <w:right w:val="single" w:color="auto" w:sz="4" w:space="0"/>
            </w:tcBorders>
            <w:vAlign w:val="center"/>
          </w:tcPr>
          <w:p w14:paraId="0FF03872">
            <w:pPr>
              <w:widowControl/>
              <w:jc w:val="center"/>
              <w:rPr>
                <w:kern w:val="0"/>
                <w:sz w:val="24"/>
              </w:rPr>
            </w:pPr>
            <w:r>
              <w:rPr>
                <w:rFonts w:hint="eastAsia"/>
                <w:kern w:val="0"/>
                <w:sz w:val="24"/>
              </w:rPr>
              <w:t>记录间隔</w:t>
            </w:r>
          </w:p>
        </w:tc>
        <w:tc>
          <w:tcPr>
            <w:tcW w:w="1701" w:type="dxa"/>
            <w:tcBorders>
              <w:top w:val="single" w:color="auto" w:sz="4" w:space="0"/>
              <w:left w:val="nil"/>
              <w:bottom w:val="single" w:color="auto" w:sz="4" w:space="0"/>
              <w:right w:val="single" w:color="auto" w:sz="4" w:space="0"/>
            </w:tcBorders>
            <w:vAlign w:val="center"/>
          </w:tcPr>
          <w:p w14:paraId="08CC582A">
            <w:pPr>
              <w:widowControl/>
              <w:jc w:val="center"/>
              <w:rPr>
                <w:kern w:val="0"/>
                <w:sz w:val="24"/>
              </w:rPr>
            </w:pPr>
            <w:r>
              <w:rPr>
                <w:rFonts w:hint="eastAsia"/>
                <w:kern w:val="0"/>
                <w:sz w:val="24"/>
              </w:rPr>
              <w:t>发送间隔</w:t>
            </w:r>
          </w:p>
        </w:tc>
        <w:tc>
          <w:tcPr>
            <w:tcW w:w="1905" w:type="dxa"/>
            <w:tcBorders>
              <w:top w:val="single" w:color="auto" w:sz="4" w:space="0"/>
              <w:left w:val="nil"/>
              <w:bottom w:val="single" w:color="auto" w:sz="4" w:space="0"/>
              <w:right w:val="single" w:color="auto" w:sz="4" w:space="0"/>
            </w:tcBorders>
            <w:vAlign w:val="center"/>
          </w:tcPr>
          <w:p w14:paraId="225EEF2B">
            <w:pPr>
              <w:widowControl/>
              <w:jc w:val="center"/>
              <w:rPr>
                <w:kern w:val="0"/>
                <w:sz w:val="24"/>
              </w:rPr>
            </w:pPr>
            <w:r>
              <w:rPr>
                <w:rFonts w:hint="eastAsia"/>
                <w:kern w:val="0"/>
                <w:sz w:val="24"/>
              </w:rPr>
              <w:t>启停方式</w:t>
            </w:r>
          </w:p>
        </w:tc>
      </w:tr>
      <w:tr w14:paraId="69ADC3F0">
        <w:tblPrEx>
          <w:tblCellMar>
            <w:top w:w="0" w:type="dxa"/>
            <w:left w:w="108" w:type="dxa"/>
            <w:bottom w:w="0" w:type="dxa"/>
            <w:right w:w="108" w:type="dxa"/>
          </w:tblCellMar>
        </w:tblPrEx>
        <w:trPr>
          <w:trHeight w:val="465" w:hRule="atLeast"/>
          <w:jc w:val="center"/>
        </w:trPr>
        <w:tc>
          <w:tcPr>
            <w:tcW w:w="1630" w:type="dxa"/>
            <w:tcBorders>
              <w:top w:val="single" w:color="auto" w:sz="4" w:space="0"/>
              <w:left w:val="single" w:color="auto" w:sz="4" w:space="0"/>
              <w:bottom w:val="single" w:color="auto" w:sz="4" w:space="0"/>
              <w:right w:val="single" w:color="auto" w:sz="4" w:space="0"/>
            </w:tcBorders>
            <w:vAlign w:val="center"/>
          </w:tcPr>
          <w:p w14:paraId="12A45AFB">
            <w:pPr>
              <w:widowControl/>
              <w:jc w:val="center"/>
              <w:rPr>
                <w:kern w:val="0"/>
                <w:sz w:val="24"/>
              </w:rPr>
            </w:pPr>
            <w:r>
              <w:rPr>
                <w:rFonts w:hint="eastAsia"/>
                <w:kern w:val="0"/>
                <w:sz w:val="24"/>
              </w:rPr>
              <w:t>检查结果</w:t>
            </w:r>
          </w:p>
        </w:tc>
        <w:tc>
          <w:tcPr>
            <w:tcW w:w="1922" w:type="dxa"/>
            <w:tcBorders>
              <w:top w:val="single" w:color="auto" w:sz="4" w:space="0"/>
              <w:left w:val="single" w:color="auto" w:sz="4" w:space="0"/>
              <w:bottom w:val="single" w:color="auto" w:sz="4" w:space="0"/>
              <w:right w:val="single" w:color="auto" w:sz="4" w:space="0"/>
            </w:tcBorders>
            <w:vAlign w:val="center"/>
          </w:tcPr>
          <w:p w14:paraId="4643183D">
            <w:pPr>
              <w:widowControl/>
              <w:jc w:val="center"/>
              <w:rPr>
                <w:kern w:val="0"/>
                <w:sz w:val="24"/>
              </w:rPr>
            </w:pPr>
          </w:p>
        </w:tc>
        <w:tc>
          <w:tcPr>
            <w:tcW w:w="1985" w:type="dxa"/>
            <w:tcBorders>
              <w:top w:val="single" w:color="auto" w:sz="4" w:space="0"/>
              <w:left w:val="nil"/>
              <w:bottom w:val="single" w:color="auto" w:sz="4" w:space="0"/>
              <w:right w:val="single" w:color="auto" w:sz="4" w:space="0"/>
            </w:tcBorders>
            <w:vAlign w:val="center"/>
          </w:tcPr>
          <w:p w14:paraId="1705B9D3">
            <w:pPr>
              <w:widowControl/>
              <w:jc w:val="center"/>
              <w:rPr>
                <w:kern w:val="0"/>
                <w:sz w:val="24"/>
              </w:rPr>
            </w:pPr>
          </w:p>
        </w:tc>
        <w:tc>
          <w:tcPr>
            <w:tcW w:w="1701" w:type="dxa"/>
            <w:tcBorders>
              <w:top w:val="single" w:color="auto" w:sz="4" w:space="0"/>
              <w:left w:val="nil"/>
              <w:bottom w:val="single" w:color="auto" w:sz="4" w:space="0"/>
              <w:right w:val="single" w:color="auto" w:sz="4" w:space="0"/>
            </w:tcBorders>
            <w:vAlign w:val="center"/>
          </w:tcPr>
          <w:p w14:paraId="51B68913">
            <w:pPr>
              <w:widowControl/>
              <w:jc w:val="center"/>
              <w:rPr>
                <w:kern w:val="0"/>
                <w:sz w:val="24"/>
              </w:rPr>
            </w:pPr>
          </w:p>
        </w:tc>
        <w:tc>
          <w:tcPr>
            <w:tcW w:w="1905" w:type="dxa"/>
            <w:tcBorders>
              <w:top w:val="single" w:color="auto" w:sz="4" w:space="0"/>
              <w:left w:val="nil"/>
              <w:bottom w:val="single" w:color="auto" w:sz="4" w:space="0"/>
              <w:right w:val="single" w:color="auto" w:sz="4" w:space="0"/>
            </w:tcBorders>
            <w:vAlign w:val="center"/>
          </w:tcPr>
          <w:p w14:paraId="62B58B4C">
            <w:pPr>
              <w:widowControl/>
              <w:jc w:val="center"/>
              <w:rPr>
                <w:kern w:val="0"/>
                <w:sz w:val="24"/>
              </w:rPr>
            </w:pPr>
          </w:p>
        </w:tc>
      </w:tr>
    </w:tbl>
    <w:p w14:paraId="658459C6">
      <w:pPr>
        <w:rPr>
          <w:bCs/>
          <w:kern w:val="44"/>
          <w:sz w:val="24"/>
        </w:rPr>
      </w:pPr>
      <w:r>
        <w:rPr>
          <w:rFonts w:hint="eastAsia"/>
          <w:bCs/>
          <w:kern w:val="44"/>
          <w:sz w:val="24"/>
        </w:rPr>
        <w:t>2.测量误差的校准</w:t>
      </w:r>
    </w:p>
    <w:p w14:paraId="4B7B09EF">
      <w:pPr>
        <w:widowControl/>
        <w:jc w:val="right"/>
        <w:rPr>
          <w:bCs/>
          <w:kern w:val="44"/>
          <w:sz w:val="24"/>
        </w:rPr>
      </w:pPr>
      <w:r>
        <w:rPr>
          <w:bCs/>
          <w:kern w:val="44"/>
          <w:sz w:val="24"/>
        </w:rPr>
        <w:t>：℃</w:t>
      </w:r>
    </w:p>
    <w:tbl>
      <w:tblPr>
        <w:tblStyle w:val="35"/>
        <w:tblW w:w="9252" w:type="dxa"/>
        <w:jc w:val="center"/>
        <w:tblLayout w:type="fixed"/>
        <w:tblCellMar>
          <w:top w:w="0" w:type="dxa"/>
          <w:left w:w="108" w:type="dxa"/>
          <w:bottom w:w="0" w:type="dxa"/>
          <w:right w:w="108" w:type="dxa"/>
        </w:tblCellMar>
      </w:tblPr>
      <w:tblGrid>
        <w:gridCol w:w="2047"/>
        <w:gridCol w:w="1175"/>
        <w:gridCol w:w="1005"/>
        <w:gridCol w:w="37"/>
        <w:gridCol w:w="968"/>
        <w:gridCol w:w="986"/>
        <w:gridCol w:w="19"/>
        <w:gridCol w:w="1005"/>
        <w:gridCol w:w="1005"/>
        <w:gridCol w:w="1005"/>
      </w:tblGrid>
      <w:tr w14:paraId="458AD464">
        <w:trPr>
          <w:trHeight w:val="170" w:hRule="atLeast"/>
          <w:jc w:val="center"/>
        </w:trPr>
        <w:tc>
          <w:tcPr>
            <w:tcW w:w="2047" w:type="dxa"/>
            <w:tcBorders>
              <w:top w:val="single" w:color="auto" w:sz="4" w:space="0"/>
              <w:left w:val="single" w:color="auto" w:sz="4" w:space="0"/>
              <w:bottom w:val="single" w:color="auto" w:sz="4" w:space="0"/>
              <w:right w:val="single" w:color="auto" w:sz="4" w:space="0"/>
            </w:tcBorders>
            <w:noWrap/>
            <w:vAlign w:val="center"/>
          </w:tcPr>
          <w:p w14:paraId="4A38F0DD">
            <w:pPr>
              <w:widowControl/>
              <w:jc w:val="center"/>
              <w:rPr>
                <w:kern w:val="0"/>
                <w:sz w:val="24"/>
              </w:rPr>
            </w:pPr>
            <w:r>
              <w:rPr>
                <w:kern w:val="0"/>
                <w:sz w:val="24"/>
              </w:rPr>
              <w:t>工况温度</w:t>
            </w:r>
          </w:p>
        </w:tc>
        <w:tc>
          <w:tcPr>
            <w:tcW w:w="2217" w:type="dxa"/>
            <w:gridSpan w:val="3"/>
            <w:tcBorders>
              <w:top w:val="single" w:color="auto" w:sz="4" w:space="0"/>
              <w:left w:val="nil"/>
              <w:bottom w:val="single" w:color="auto" w:sz="4" w:space="0"/>
              <w:right w:val="single" w:color="auto" w:sz="4" w:space="0"/>
            </w:tcBorders>
            <w:noWrap/>
            <w:vAlign w:val="center"/>
          </w:tcPr>
          <w:p w14:paraId="057D1C5D">
            <w:pPr>
              <w:widowControl/>
              <w:jc w:val="center"/>
              <w:rPr>
                <w:kern w:val="0"/>
                <w:sz w:val="24"/>
              </w:rPr>
            </w:pPr>
            <w:r>
              <w:rPr>
                <w:kern w:val="0"/>
                <w:sz w:val="24"/>
              </w:rPr>
              <w:t>　</w:t>
            </w:r>
          </w:p>
        </w:tc>
        <w:tc>
          <w:tcPr>
            <w:tcW w:w="1954" w:type="dxa"/>
            <w:gridSpan w:val="2"/>
            <w:tcBorders>
              <w:top w:val="single" w:color="auto" w:sz="4" w:space="0"/>
              <w:left w:val="nil"/>
              <w:bottom w:val="single" w:color="auto" w:sz="4" w:space="0"/>
              <w:right w:val="single" w:color="auto" w:sz="4" w:space="0"/>
            </w:tcBorders>
            <w:vAlign w:val="center"/>
          </w:tcPr>
          <w:p w14:paraId="2BB5D99A">
            <w:pPr>
              <w:widowControl/>
              <w:jc w:val="center"/>
              <w:rPr>
                <w:kern w:val="0"/>
                <w:sz w:val="24"/>
              </w:rPr>
            </w:pPr>
            <w:r>
              <w:rPr>
                <w:kern w:val="0"/>
                <w:sz w:val="24"/>
              </w:rPr>
              <w:t>校准点</w:t>
            </w:r>
          </w:p>
        </w:tc>
        <w:tc>
          <w:tcPr>
            <w:tcW w:w="3034" w:type="dxa"/>
            <w:gridSpan w:val="4"/>
            <w:tcBorders>
              <w:top w:val="single" w:color="auto" w:sz="4" w:space="0"/>
              <w:left w:val="nil"/>
              <w:bottom w:val="single" w:color="auto" w:sz="4" w:space="0"/>
              <w:right w:val="single" w:color="000000" w:sz="4" w:space="0"/>
            </w:tcBorders>
            <w:vAlign w:val="center"/>
          </w:tcPr>
          <w:p w14:paraId="7A69BD29">
            <w:pPr>
              <w:widowControl/>
              <w:jc w:val="center"/>
              <w:rPr>
                <w:kern w:val="0"/>
                <w:sz w:val="24"/>
              </w:rPr>
            </w:pPr>
            <w:r>
              <w:rPr>
                <w:kern w:val="0"/>
                <w:sz w:val="24"/>
              </w:rPr>
              <w:t>　</w:t>
            </w:r>
          </w:p>
        </w:tc>
      </w:tr>
      <w:tr w14:paraId="174B5B0D">
        <w:tblPrEx>
          <w:tblCellMar>
            <w:top w:w="0" w:type="dxa"/>
            <w:left w:w="108" w:type="dxa"/>
            <w:bottom w:w="0" w:type="dxa"/>
            <w:right w:w="108" w:type="dxa"/>
          </w:tblCellMar>
        </w:tblPrEx>
        <w:trPr>
          <w:trHeight w:val="170" w:hRule="atLeast"/>
          <w:jc w:val="center"/>
        </w:trPr>
        <w:tc>
          <w:tcPr>
            <w:tcW w:w="2047" w:type="dxa"/>
            <w:vMerge w:val="restart"/>
            <w:tcBorders>
              <w:top w:val="nil"/>
              <w:left w:val="single" w:color="auto" w:sz="4" w:space="0"/>
              <w:bottom w:val="single" w:color="000000" w:sz="4" w:space="0"/>
              <w:right w:val="single" w:color="auto" w:sz="4" w:space="0"/>
            </w:tcBorders>
            <w:noWrap/>
            <w:vAlign w:val="center"/>
          </w:tcPr>
          <w:p w14:paraId="7A02DBF6">
            <w:pPr>
              <w:widowControl/>
              <w:jc w:val="center"/>
              <w:rPr>
                <w:kern w:val="0"/>
                <w:sz w:val="24"/>
              </w:rPr>
            </w:pPr>
            <w:r>
              <w:rPr>
                <w:kern w:val="0"/>
                <w:sz w:val="24"/>
              </w:rPr>
              <w:t>测量次数</w:t>
            </w:r>
          </w:p>
        </w:tc>
        <w:tc>
          <w:tcPr>
            <w:tcW w:w="1175" w:type="dxa"/>
            <w:vMerge w:val="restart"/>
            <w:tcBorders>
              <w:top w:val="nil"/>
              <w:left w:val="single" w:color="auto" w:sz="4" w:space="0"/>
              <w:bottom w:val="single" w:color="000000" w:sz="4" w:space="0"/>
              <w:right w:val="single" w:color="auto" w:sz="4" w:space="0"/>
            </w:tcBorders>
            <w:noWrap/>
            <w:vAlign w:val="center"/>
          </w:tcPr>
          <w:p w14:paraId="5ABD7230">
            <w:pPr>
              <w:widowControl/>
              <w:jc w:val="center"/>
              <w:rPr>
                <w:kern w:val="0"/>
                <w:sz w:val="24"/>
              </w:rPr>
            </w:pPr>
            <w:r>
              <w:rPr>
                <w:kern w:val="0"/>
                <w:sz w:val="24"/>
              </w:rPr>
              <w:t>标准示值</w:t>
            </w:r>
          </w:p>
        </w:tc>
        <w:tc>
          <w:tcPr>
            <w:tcW w:w="6030" w:type="dxa"/>
            <w:gridSpan w:val="8"/>
            <w:tcBorders>
              <w:top w:val="single" w:color="auto" w:sz="4" w:space="0"/>
              <w:left w:val="nil"/>
              <w:bottom w:val="single" w:color="auto" w:sz="4" w:space="0"/>
              <w:right w:val="single" w:color="auto" w:sz="4" w:space="0"/>
            </w:tcBorders>
            <w:noWrap/>
            <w:vAlign w:val="center"/>
          </w:tcPr>
          <w:p w14:paraId="30D2852A">
            <w:pPr>
              <w:widowControl/>
              <w:jc w:val="center"/>
              <w:rPr>
                <w:kern w:val="0"/>
                <w:sz w:val="24"/>
              </w:rPr>
            </w:pPr>
            <w:r>
              <w:rPr>
                <w:kern w:val="0"/>
                <w:sz w:val="24"/>
              </w:rPr>
              <w:t>通道号</w:t>
            </w:r>
          </w:p>
        </w:tc>
      </w:tr>
      <w:tr w14:paraId="4A5BC22A">
        <w:tblPrEx>
          <w:tblCellMar>
            <w:top w:w="0" w:type="dxa"/>
            <w:left w:w="108" w:type="dxa"/>
            <w:bottom w:w="0" w:type="dxa"/>
            <w:right w:w="108" w:type="dxa"/>
          </w:tblCellMar>
        </w:tblPrEx>
        <w:trPr>
          <w:trHeight w:val="170" w:hRule="atLeast"/>
          <w:jc w:val="center"/>
        </w:trPr>
        <w:tc>
          <w:tcPr>
            <w:tcW w:w="2047" w:type="dxa"/>
            <w:vMerge w:val="continue"/>
            <w:tcBorders>
              <w:top w:val="nil"/>
              <w:left w:val="single" w:color="auto" w:sz="4" w:space="0"/>
              <w:bottom w:val="single" w:color="000000" w:sz="4" w:space="0"/>
              <w:right w:val="single" w:color="auto" w:sz="4" w:space="0"/>
            </w:tcBorders>
            <w:vAlign w:val="center"/>
          </w:tcPr>
          <w:p w14:paraId="40F0BD71">
            <w:pPr>
              <w:widowControl/>
              <w:jc w:val="left"/>
              <w:rPr>
                <w:kern w:val="0"/>
                <w:sz w:val="24"/>
              </w:rPr>
            </w:pPr>
          </w:p>
        </w:tc>
        <w:tc>
          <w:tcPr>
            <w:tcW w:w="1175" w:type="dxa"/>
            <w:vMerge w:val="continue"/>
            <w:tcBorders>
              <w:top w:val="nil"/>
              <w:left w:val="single" w:color="auto" w:sz="4" w:space="0"/>
              <w:bottom w:val="single" w:color="000000" w:sz="4" w:space="0"/>
              <w:right w:val="single" w:color="auto" w:sz="4" w:space="0"/>
            </w:tcBorders>
            <w:vAlign w:val="center"/>
          </w:tcPr>
          <w:p w14:paraId="6EA068F9">
            <w:pPr>
              <w:widowControl/>
              <w:jc w:val="left"/>
              <w:rPr>
                <w:kern w:val="0"/>
                <w:sz w:val="24"/>
              </w:rPr>
            </w:pPr>
          </w:p>
        </w:tc>
        <w:tc>
          <w:tcPr>
            <w:tcW w:w="1005" w:type="dxa"/>
            <w:tcBorders>
              <w:top w:val="nil"/>
              <w:left w:val="nil"/>
              <w:bottom w:val="single" w:color="auto" w:sz="4" w:space="0"/>
              <w:right w:val="single" w:color="auto" w:sz="4" w:space="0"/>
            </w:tcBorders>
            <w:noWrap/>
            <w:vAlign w:val="center"/>
          </w:tcPr>
          <w:p w14:paraId="1AE7F8E4">
            <w:pPr>
              <w:widowControl/>
              <w:jc w:val="center"/>
              <w:rPr>
                <w:kern w:val="0"/>
                <w:sz w:val="24"/>
              </w:rPr>
            </w:pPr>
            <w:r>
              <w:rPr>
                <w:kern w:val="0"/>
                <w:sz w:val="24"/>
              </w:rPr>
              <w:t>CH1</w:t>
            </w:r>
          </w:p>
        </w:tc>
        <w:tc>
          <w:tcPr>
            <w:tcW w:w="1005" w:type="dxa"/>
            <w:gridSpan w:val="2"/>
            <w:tcBorders>
              <w:top w:val="nil"/>
              <w:left w:val="nil"/>
              <w:bottom w:val="single" w:color="auto" w:sz="4" w:space="0"/>
              <w:right w:val="single" w:color="auto" w:sz="4" w:space="0"/>
            </w:tcBorders>
            <w:noWrap/>
            <w:vAlign w:val="center"/>
          </w:tcPr>
          <w:p w14:paraId="504413FA">
            <w:pPr>
              <w:widowControl/>
              <w:jc w:val="center"/>
              <w:rPr>
                <w:kern w:val="0"/>
                <w:sz w:val="24"/>
              </w:rPr>
            </w:pPr>
            <w:r>
              <w:rPr>
                <w:kern w:val="0"/>
                <w:sz w:val="24"/>
              </w:rPr>
              <w:t>CH2</w:t>
            </w:r>
          </w:p>
        </w:tc>
        <w:tc>
          <w:tcPr>
            <w:tcW w:w="1005" w:type="dxa"/>
            <w:gridSpan w:val="2"/>
            <w:tcBorders>
              <w:top w:val="nil"/>
              <w:left w:val="nil"/>
              <w:bottom w:val="single" w:color="auto" w:sz="4" w:space="0"/>
              <w:right w:val="single" w:color="auto" w:sz="4" w:space="0"/>
            </w:tcBorders>
            <w:noWrap/>
            <w:vAlign w:val="center"/>
          </w:tcPr>
          <w:p w14:paraId="5EBF2CCB">
            <w:pPr>
              <w:widowControl/>
              <w:jc w:val="center"/>
              <w:rPr>
                <w:kern w:val="0"/>
                <w:sz w:val="24"/>
              </w:rPr>
            </w:pPr>
            <w:r>
              <w:rPr>
                <w:kern w:val="0"/>
                <w:sz w:val="24"/>
              </w:rPr>
              <w:t>CH3</w:t>
            </w:r>
          </w:p>
        </w:tc>
        <w:tc>
          <w:tcPr>
            <w:tcW w:w="1005" w:type="dxa"/>
            <w:tcBorders>
              <w:top w:val="nil"/>
              <w:left w:val="nil"/>
              <w:bottom w:val="single" w:color="auto" w:sz="4" w:space="0"/>
              <w:right w:val="single" w:color="auto" w:sz="4" w:space="0"/>
            </w:tcBorders>
            <w:noWrap/>
            <w:vAlign w:val="center"/>
          </w:tcPr>
          <w:p w14:paraId="672652D1">
            <w:pPr>
              <w:widowControl/>
              <w:jc w:val="center"/>
              <w:rPr>
                <w:kern w:val="0"/>
                <w:sz w:val="24"/>
              </w:rPr>
            </w:pPr>
            <w:r>
              <w:rPr>
                <w:kern w:val="0"/>
                <w:sz w:val="24"/>
              </w:rPr>
              <w:t>CH4</w:t>
            </w:r>
          </w:p>
        </w:tc>
        <w:tc>
          <w:tcPr>
            <w:tcW w:w="1005" w:type="dxa"/>
            <w:tcBorders>
              <w:top w:val="nil"/>
              <w:left w:val="nil"/>
              <w:bottom w:val="single" w:color="auto" w:sz="4" w:space="0"/>
              <w:right w:val="single" w:color="auto" w:sz="4" w:space="0"/>
            </w:tcBorders>
            <w:noWrap/>
            <w:vAlign w:val="center"/>
          </w:tcPr>
          <w:p w14:paraId="44440B6B">
            <w:pPr>
              <w:widowControl/>
              <w:jc w:val="center"/>
              <w:rPr>
                <w:kern w:val="0"/>
                <w:sz w:val="24"/>
              </w:rPr>
            </w:pPr>
            <w:r>
              <w:rPr>
                <w:kern w:val="0"/>
                <w:sz w:val="24"/>
              </w:rPr>
              <w:t>……</w:t>
            </w:r>
          </w:p>
        </w:tc>
        <w:tc>
          <w:tcPr>
            <w:tcW w:w="1005" w:type="dxa"/>
            <w:tcBorders>
              <w:top w:val="nil"/>
              <w:left w:val="nil"/>
              <w:bottom w:val="single" w:color="auto" w:sz="4" w:space="0"/>
              <w:right w:val="single" w:color="auto" w:sz="4" w:space="0"/>
            </w:tcBorders>
            <w:noWrap/>
            <w:vAlign w:val="center"/>
          </w:tcPr>
          <w:p w14:paraId="0176EC81">
            <w:pPr>
              <w:widowControl/>
              <w:jc w:val="center"/>
              <w:rPr>
                <w:kern w:val="0"/>
                <w:sz w:val="24"/>
              </w:rPr>
            </w:pPr>
            <w:r>
              <w:rPr>
                <w:kern w:val="0"/>
                <w:sz w:val="24"/>
              </w:rPr>
              <w:t>CH</w:t>
            </w:r>
            <w:r>
              <w:rPr>
                <w:i/>
                <w:kern w:val="0"/>
                <w:sz w:val="24"/>
              </w:rPr>
              <w:t>N</w:t>
            </w:r>
          </w:p>
        </w:tc>
      </w:tr>
      <w:tr w14:paraId="55F60A9A">
        <w:tblPrEx>
          <w:tblCellMar>
            <w:top w:w="0" w:type="dxa"/>
            <w:left w:w="108" w:type="dxa"/>
            <w:bottom w:w="0" w:type="dxa"/>
            <w:right w:w="108" w:type="dxa"/>
          </w:tblCellMar>
        </w:tblPrEx>
        <w:trPr>
          <w:trHeight w:val="170" w:hRule="atLeast"/>
          <w:jc w:val="center"/>
        </w:trPr>
        <w:tc>
          <w:tcPr>
            <w:tcW w:w="2047" w:type="dxa"/>
            <w:tcBorders>
              <w:top w:val="nil"/>
              <w:left w:val="single" w:color="auto" w:sz="4" w:space="0"/>
              <w:bottom w:val="single" w:color="auto" w:sz="4" w:space="0"/>
              <w:right w:val="single" w:color="auto" w:sz="4" w:space="0"/>
            </w:tcBorders>
            <w:noWrap/>
            <w:vAlign w:val="center"/>
          </w:tcPr>
          <w:p w14:paraId="3D34B308">
            <w:pPr>
              <w:widowControl/>
              <w:jc w:val="center"/>
              <w:rPr>
                <w:kern w:val="0"/>
                <w:sz w:val="24"/>
              </w:rPr>
            </w:pPr>
            <w:r>
              <w:rPr>
                <w:kern w:val="0"/>
                <w:sz w:val="24"/>
              </w:rPr>
              <w:t>1</w:t>
            </w:r>
          </w:p>
        </w:tc>
        <w:tc>
          <w:tcPr>
            <w:tcW w:w="1175" w:type="dxa"/>
            <w:tcBorders>
              <w:top w:val="nil"/>
              <w:left w:val="nil"/>
              <w:bottom w:val="single" w:color="auto" w:sz="4" w:space="0"/>
              <w:right w:val="single" w:color="auto" w:sz="4" w:space="0"/>
            </w:tcBorders>
            <w:noWrap/>
            <w:vAlign w:val="center"/>
          </w:tcPr>
          <w:p w14:paraId="29C4FCD2">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0523BFA3">
            <w:pPr>
              <w:widowControl/>
              <w:jc w:val="center"/>
              <w:rPr>
                <w:kern w:val="0"/>
                <w:sz w:val="24"/>
              </w:rPr>
            </w:pPr>
            <w:r>
              <w:rPr>
                <w:kern w:val="0"/>
                <w:sz w:val="24"/>
              </w:rPr>
              <w:t>　</w:t>
            </w:r>
          </w:p>
        </w:tc>
        <w:tc>
          <w:tcPr>
            <w:tcW w:w="1005" w:type="dxa"/>
            <w:gridSpan w:val="2"/>
            <w:tcBorders>
              <w:top w:val="nil"/>
              <w:left w:val="nil"/>
              <w:bottom w:val="single" w:color="auto" w:sz="4" w:space="0"/>
              <w:right w:val="single" w:color="auto" w:sz="4" w:space="0"/>
            </w:tcBorders>
            <w:noWrap/>
            <w:vAlign w:val="center"/>
          </w:tcPr>
          <w:p w14:paraId="477B7E4C">
            <w:pPr>
              <w:widowControl/>
              <w:jc w:val="center"/>
              <w:rPr>
                <w:kern w:val="0"/>
                <w:sz w:val="24"/>
              </w:rPr>
            </w:pPr>
            <w:r>
              <w:rPr>
                <w:kern w:val="0"/>
                <w:sz w:val="24"/>
              </w:rPr>
              <w:t>　</w:t>
            </w:r>
          </w:p>
        </w:tc>
        <w:tc>
          <w:tcPr>
            <w:tcW w:w="1005" w:type="dxa"/>
            <w:gridSpan w:val="2"/>
            <w:tcBorders>
              <w:top w:val="nil"/>
              <w:left w:val="nil"/>
              <w:bottom w:val="single" w:color="auto" w:sz="4" w:space="0"/>
              <w:right w:val="single" w:color="auto" w:sz="4" w:space="0"/>
            </w:tcBorders>
            <w:noWrap/>
            <w:vAlign w:val="center"/>
          </w:tcPr>
          <w:p w14:paraId="67A8F848">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5849D7B8">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23E58776">
            <w:pPr>
              <w:widowControl/>
              <w:jc w:val="center"/>
              <w:rPr>
                <w:kern w:val="0"/>
                <w:sz w:val="24"/>
              </w:rPr>
            </w:pPr>
          </w:p>
        </w:tc>
        <w:tc>
          <w:tcPr>
            <w:tcW w:w="1005" w:type="dxa"/>
            <w:tcBorders>
              <w:top w:val="nil"/>
              <w:left w:val="nil"/>
              <w:bottom w:val="single" w:color="auto" w:sz="4" w:space="0"/>
              <w:right w:val="single" w:color="auto" w:sz="4" w:space="0"/>
            </w:tcBorders>
            <w:noWrap/>
            <w:vAlign w:val="center"/>
          </w:tcPr>
          <w:p w14:paraId="378A76A3">
            <w:pPr>
              <w:widowControl/>
              <w:jc w:val="center"/>
              <w:rPr>
                <w:kern w:val="0"/>
                <w:sz w:val="24"/>
              </w:rPr>
            </w:pPr>
            <w:r>
              <w:rPr>
                <w:kern w:val="0"/>
                <w:sz w:val="24"/>
              </w:rPr>
              <w:t>　</w:t>
            </w:r>
          </w:p>
        </w:tc>
      </w:tr>
      <w:tr w14:paraId="6895776D">
        <w:tblPrEx>
          <w:tblCellMar>
            <w:top w:w="0" w:type="dxa"/>
            <w:left w:w="108" w:type="dxa"/>
            <w:bottom w:w="0" w:type="dxa"/>
            <w:right w:w="108" w:type="dxa"/>
          </w:tblCellMar>
        </w:tblPrEx>
        <w:trPr>
          <w:trHeight w:val="170" w:hRule="atLeast"/>
          <w:jc w:val="center"/>
        </w:trPr>
        <w:tc>
          <w:tcPr>
            <w:tcW w:w="2047" w:type="dxa"/>
            <w:tcBorders>
              <w:top w:val="nil"/>
              <w:left w:val="single" w:color="auto" w:sz="4" w:space="0"/>
              <w:bottom w:val="single" w:color="auto" w:sz="4" w:space="0"/>
              <w:right w:val="single" w:color="auto" w:sz="4" w:space="0"/>
            </w:tcBorders>
            <w:noWrap/>
            <w:vAlign w:val="center"/>
          </w:tcPr>
          <w:p w14:paraId="5B01A969">
            <w:pPr>
              <w:widowControl/>
              <w:jc w:val="center"/>
              <w:rPr>
                <w:kern w:val="0"/>
                <w:sz w:val="24"/>
              </w:rPr>
            </w:pPr>
            <w:r>
              <w:rPr>
                <w:kern w:val="0"/>
                <w:sz w:val="24"/>
              </w:rPr>
              <w:t>2</w:t>
            </w:r>
          </w:p>
        </w:tc>
        <w:tc>
          <w:tcPr>
            <w:tcW w:w="1175" w:type="dxa"/>
            <w:tcBorders>
              <w:top w:val="nil"/>
              <w:left w:val="nil"/>
              <w:bottom w:val="single" w:color="auto" w:sz="4" w:space="0"/>
              <w:right w:val="single" w:color="auto" w:sz="4" w:space="0"/>
            </w:tcBorders>
            <w:noWrap/>
            <w:vAlign w:val="center"/>
          </w:tcPr>
          <w:p w14:paraId="69CCF776">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773E4D4B">
            <w:pPr>
              <w:widowControl/>
              <w:jc w:val="center"/>
              <w:rPr>
                <w:kern w:val="0"/>
                <w:sz w:val="24"/>
              </w:rPr>
            </w:pPr>
            <w:r>
              <w:rPr>
                <w:kern w:val="0"/>
                <w:sz w:val="24"/>
              </w:rPr>
              <w:t>　</w:t>
            </w:r>
          </w:p>
        </w:tc>
        <w:tc>
          <w:tcPr>
            <w:tcW w:w="1005" w:type="dxa"/>
            <w:gridSpan w:val="2"/>
            <w:tcBorders>
              <w:top w:val="nil"/>
              <w:left w:val="nil"/>
              <w:bottom w:val="single" w:color="auto" w:sz="4" w:space="0"/>
              <w:right w:val="single" w:color="auto" w:sz="4" w:space="0"/>
            </w:tcBorders>
            <w:noWrap/>
            <w:vAlign w:val="center"/>
          </w:tcPr>
          <w:p w14:paraId="2C2837E0">
            <w:pPr>
              <w:widowControl/>
              <w:jc w:val="center"/>
              <w:rPr>
                <w:kern w:val="0"/>
                <w:sz w:val="24"/>
              </w:rPr>
            </w:pPr>
            <w:r>
              <w:rPr>
                <w:kern w:val="0"/>
                <w:sz w:val="24"/>
              </w:rPr>
              <w:t>　</w:t>
            </w:r>
          </w:p>
        </w:tc>
        <w:tc>
          <w:tcPr>
            <w:tcW w:w="1005" w:type="dxa"/>
            <w:gridSpan w:val="2"/>
            <w:tcBorders>
              <w:top w:val="nil"/>
              <w:left w:val="nil"/>
              <w:bottom w:val="single" w:color="auto" w:sz="4" w:space="0"/>
              <w:right w:val="single" w:color="auto" w:sz="4" w:space="0"/>
            </w:tcBorders>
            <w:noWrap/>
            <w:vAlign w:val="center"/>
          </w:tcPr>
          <w:p w14:paraId="1DF44925">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3FA6CFD5">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7D7FEB7A">
            <w:pPr>
              <w:widowControl/>
              <w:jc w:val="center"/>
              <w:rPr>
                <w:kern w:val="0"/>
                <w:sz w:val="24"/>
              </w:rPr>
            </w:pPr>
          </w:p>
        </w:tc>
        <w:tc>
          <w:tcPr>
            <w:tcW w:w="1005" w:type="dxa"/>
            <w:tcBorders>
              <w:top w:val="nil"/>
              <w:left w:val="nil"/>
              <w:bottom w:val="single" w:color="auto" w:sz="4" w:space="0"/>
              <w:right w:val="single" w:color="auto" w:sz="4" w:space="0"/>
            </w:tcBorders>
            <w:noWrap/>
            <w:vAlign w:val="center"/>
          </w:tcPr>
          <w:p w14:paraId="2F79A401">
            <w:pPr>
              <w:widowControl/>
              <w:jc w:val="center"/>
              <w:rPr>
                <w:kern w:val="0"/>
                <w:sz w:val="24"/>
              </w:rPr>
            </w:pPr>
            <w:r>
              <w:rPr>
                <w:kern w:val="0"/>
                <w:sz w:val="24"/>
              </w:rPr>
              <w:t>　</w:t>
            </w:r>
          </w:p>
        </w:tc>
      </w:tr>
      <w:tr w14:paraId="5EAFDB95">
        <w:tblPrEx>
          <w:tblCellMar>
            <w:top w:w="0" w:type="dxa"/>
            <w:left w:w="108" w:type="dxa"/>
            <w:bottom w:w="0" w:type="dxa"/>
            <w:right w:w="108" w:type="dxa"/>
          </w:tblCellMar>
        </w:tblPrEx>
        <w:trPr>
          <w:trHeight w:val="170" w:hRule="atLeast"/>
          <w:jc w:val="center"/>
        </w:trPr>
        <w:tc>
          <w:tcPr>
            <w:tcW w:w="2047" w:type="dxa"/>
            <w:tcBorders>
              <w:top w:val="nil"/>
              <w:left w:val="single" w:color="auto" w:sz="4" w:space="0"/>
              <w:bottom w:val="single" w:color="auto" w:sz="4" w:space="0"/>
              <w:right w:val="single" w:color="auto" w:sz="4" w:space="0"/>
            </w:tcBorders>
            <w:noWrap/>
            <w:vAlign w:val="center"/>
          </w:tcPr>
          <w:p w14:paraId="49139239">
            <w:pPr>
              <w:widowControl/>
              <w:jc w:val="center"/>
              <w:rPr>
                <w:kern w:val="0"/>
                <w:sz w:val="24"/>
              </w:rPr>
            </w:pPr>
            <w:r>
              <w:rPr>
                <w:kern w:val="0"/>
                <w:sz w:val="24"/>
              </w:rPr>
              <w:t>3</w:t>
            </w:r>
          </w:p>
        </w:tc>
        <w:tc>
          <w:tcPr>
            <w:tcW w:w="1175" w:type="dxa"/>
            <w:tcBorders>
              <w:top w:val="nil"/>
              <w:left w:val="nil"/>
              <w:bottom w:val="single" w:color="auto" w:sz="4" w:space="0"/>
              <w:right w:val="single" w:color="auto" w:sz="4" w:space="0"/>
            </w:tcBorders>
            <w:noWrap/>
            <w:vAlign w:val="center"/>
          </w:tcPr>
          <w:p w14:paraId="0EDD77B1">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614572C0">
            <w:pPr>
              <w:widowControl/>
              <w:jc w:val="center"/>
              <w:rPr>
                <w:kern w:val="0"/>
                <w:sz w:val="24"/>
              </w:rPr>
            </w:pPr>
            <w:r>
              <w:rPr>
                <w:kern w:val="0"/>
                <w:sz w:val="24"/>
              </w:rPr>
              <w:t>　</w:t>
            </w:r>
          </w:p>
        </w:tc>
        <w:tc>
          <w:tcPr>
            <w:tcW w:w="1005" w:type="dxa"/>
            <w:gridSpan w:val="2"/>
            <w:tcBorders>
              <w:top w:val="nil"/>
              <w:left w:val="nil"/>
              <w:bottom w:val="single" w:color="auto" w:sz="4" w:space="0"/>
              <w:right w:val="single" w:color="auto" w:sz="4" w:space="0"/>
            </w:tcBorders>
            <w:noWrap/>
            <w:vAlign w:val="center"/>
          </w:tcPr>
          <w:p w14:paraId="40502B75">
            <w:pPr>
              <w:widowControl/>
              <w:jc w:val="center"/>
              <w:rPr>
                <w:kern w:val="0"/>
                <w:sz w:val="24"/>
              </w:rPr>
            </w:pPr>
            <w:r>
              <w:rPr>
                <w:kern w:val="0"/>
                <w:sz w:val="24"/>
              </w:rPr>
              <w:t>　</w:t>
            </w:r>
          </w:p>
        </w:tc>
        <w:tc>
          <w:tcPr>
            <w:tcW w:w="1005" w:type="dxa"/>
            <w:gridSpan w:val="2"/>
            <w:tcBorders>
              <w:top w:val="nil"/>
              <w:left w:val="nil"/>
              <w:bottom w:val="single" w:color="auto" w:sz="4" w:space="0"/>
              <w:right w:val="single" w:color="auto" w:sz="4" w:space="0"/>
            </w:tcBorders>
            <w:noWrap/>
            <w:vAlign w:val="center"/>
          </w:tcPr>
          <w:p w14:paraId="5E9FFD12">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3ABC8603">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6D6DFF33">
            <w:pPr>
              <w:widowControl/>
              <w:jc w:val="center"/>
              <w:rPr>
                <w:kern w:val="0"/>
                <w:sz w:val="24"/>
              </w:rPr>
            </w:pPr>
          </w:p>
        </w:tc>
        <w:tc>
          <w:tcPr>
            <w:tcW w:w="1005" w:type="dxa"/>
            <w:tcBorders>
              <w:top w:val="nil"/>
              <w:left w:val="nil"/>
              <w:bottom w:val="single" w:color="auto" w:sz="4" w:space="0"/>
              <w:right w:val="single" w:color="auto" w:sz="4" w:space="0"/>
            </w:tcBorders>
            <w:noWrap/>
            <w:vAlign w:val="center"/>
          </w:tcPr>
          <w:p w14:paraId="2FE426C3">
            <w:pPr>
              <w:widowControl/>
              <w:jc w:val="center"/>
              <w:rPr>
                <w:kern w:val="0"/>
                <w:sz w:val="24"/>
              </w:rPr>
            </w:pPr>
            <w:r>
              <w:rPr>
                <w:kern w:val="0"/>
                <w:sz w:val="24"/>
              </w:rPr>
              <w:t>　</w:t>
            </w:r>
          </w:p>
        </w:tc>
      </w:tr>
      <w:tr w14:paraId="38FE2050">
        <w:tblPrEx>
          <w:tblCellMar>
            <w:top w:w="0" w:type="dxa"/>
            <w:left w:w="108" w:type="dxa"/>
            <w:bottom w:w="0" w:type="dxa"/>
            <w:right w:w="108" w:type="dxa"/>
          </w:tblCellMar>
        </w:tblPrEx>
        <w:trPr>
          <w:trHeight w:val="170" w:hRule="atLeast"/>
          <w:jc w:val="center"/>
        </w:trPr>
        <w:tc>
          <w:tcPr>
            <w:tcW w:w="2047" w:type="dxa"/>
            <w:tcBorders>
              <w:top w:val="nil"/>
              <w:left w:val="single" w:color="auto" w:sz="4" w:space="0"/>
              <w:bottom w:val="single" w:color="auto" w:sz="4" w:space="0"/>
              <w:right w:val="single" w:color="auto" w:sz="4" w:space="0"/>
            </w:tcBorders>
            <w:noWrap/>
            <w:vAlign w:val="center"/>
          </w:tcPr>
          <w:p w14:paraId="1B87CDAE">
            <w:pPr>
              <w:widowControl/>
              <w:jc w:val="center"/>
              <w:rPr>
                <w:kern w:val="0"/>
                <w:sz w:val="24"/>
              </w:rPr>
            </w:pPr>
            <w:r>
              <w:rPr>
                <w:kern w:val="0"/>
                <w:sz w:val="24"/>
              </w:rPr>
              <w:t>4</w:t>
            </w:r>
          </w:p>
        </w:tc>
        <w:tc>
          <w:tcPr>
            <w:tcW w:w="1175" w:type="dxa"/>
            <w:tcBorders>
              <w:top w:val="nil"/>
              <w:left w:val="nil"/>
              <w:bottom w:val="single" w:color="auto" w:sz="4" w:space="0"/>
              <w:right w:val="single" w:color="auto" w:sz="4" w:space="0"/>
            </w:tcBorders>
            <w:noWrap/>
            <w:vAlign w:val="center"/>
          </w:tcPr>
          <w:p w14:paraId="43EA4AED">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0E494137">
            <w:pPr>
              <w:widowControl/>
              <w:jc w:val="center"/>
              <w:rPr>
                <w:kern w:val="0"/>
                <w:sz w:val="24"/>
              </w:rPr>
            </w:pPr>
            <w:r>
              <w:rPr>
                <w:kern w:val="0"/>
                <w:sz w:val="24"/>
              </w:rPr>
              <w:t>　</w:t>
            </w:r>
          </w:p>
        </w:tc>
        <w:tc>
          <w:tcPr>
            <w:tcW w:w="1005" w:type="dxa"/>
            <w:gridSpan w:val="2"/>
            <w:tcBorders>
              <w:top w:val="nil"/>
              <w:left w:val="nil"/>
              <w:bottom w:val="single" w:color="auto" w:sz="4" w:space="0"/>
              <w:right w:val="single" w:color="auto" w:sz="4" w:space="0"/>
            </w:tcBorders>
            <w:noWrap/>
            <w:vAlign w:val="center"/>
          </w:tcPr>
          <w:p w14:paraId="2B5789AA">
            <w:pPr>
              <w:widowControl/>
              <w:jc w:val="center"/>
              <w:rPr>
                <w:kern w:val="0"/>
                <w:sz w:val="24"/>
              </w:rPr>
            </w:pPr>
            <w:r>
              <w:rPr>
                <w:kern w:val="0"/>
                <w:sz w:val="24"/>
              </w:rPr>
              <w:t>　</w:t>
            </w:r>
          </w:p>
        </w:tc>
        <w:tc>
          <w:tcPr>
            <w:tcW w:w="1005" w:type="dxa"/>
            <w:gridSpan w:val="2"/>
            <w:tcBorders>
              <w:top w:val="nil"/>
              <w:left w:val="nil"/>
              <w:bottom w:val="single" w:color="auto" w:sz="4" w:space="0"/>
              <w:right w:val="single" w:color="auto" w:sz="4" w:space="0"/>
            </w:tcBorders>
            <w:noWrap/>
            <w:vAlign w:val="center"/>
          </w:tcPr>
          <w:p w14:paraId="5848F874">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02704EBD">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29895EE9">
            <w:pPr>
              <w:widowControl/>
              <w:jc w:val="center"/>
              <w:rPr>
                <w:kern w:val="0"/>
                <w:sz w:val="24"/>
              </w:rPr>
            </w:pPr>
          </w:p>
        </w:tc>
        <w:tc>
          <w:tcPr>
            <w:tcW w:w="1005" w:type="dxa"/>
            <w:tcBorders>
              <w:top w:val="nil"/>
              <w:left w:val="nil"/>
              <w:bottom w:val="single" w:color="auto" w:sz="4" w:space="0"/>
              <w:right w:val="single" w:color="auto" w:sz="4" w:space="0"/>
            </w:tcBorders>
            <w:noWrap/>
            <w:vAlign w:val="center"/>
          </w:tcPr>
          <w:p w14:paraId="160AD79B">
            <w:pPr>
              <w:widowControl/>
              <w:jc w:val="center"/>
              <w:rPr>
                <w:kern w:val="0"/>
                <w:sz w:val="24"/>
              </w:rPr>
            </w:pPr>
            <w:r>
              <w:rPr>
                <w:kern w:val="0"/>
                <w:sz w:val="24"/>
              </w:rPr>
              <w:t>　</w:t>
            </w:r>
          </w:p>
        </w:tc>
      </w:tr>
      <w:tr w14:paraId="79A22DFD">
        <w:tblPrEx>
          <w:tblCellMar>
            <w:top w:w="0" w:type="dxa"/>
            <w:left w:w="108" w:type="dxa"/>
            <w:bottom w:w="0" w:type="dxa"/>
            <w:right w:w="108" w:type="dxa"/>
          </w:tblCellMar>
        </w:tblPrEx>
        <w:trPr>
          <w:trHeight w:val="170" w:hRule="atLeast"/>
          <w:jc w:val="center"/>
        </w:trPr>
        <w:tc>
          <w:tcPr>
            <w:tcW w:w="2047" w:type="dxa"/>
            <w:tcBorders>
              <w:top w:val="nil"/>
              <w:left w:val="single" w:color="auto" w:sz="4" w:space="0"/>
              <w:bottom w:val="single" w:color="auto" w:sz="4" w:space="0"/>
              <w:right w:val="single" w:color="auto" w:sz="4" w:space="0"/>
            </w:tcBorders>
            <w:noWrap/>
            <w:vAlign w:val="center"/>
          </w:tcPr>
          <w:p w14:paraId="082A7016">
            <w:pPr>
              <w:widowControl/>
              <w:jc w:val="center"/>
              <w:rPr>
                <w:kern w:val="0"/>
                <w:sz w:val="24"/>
              </w:rPr>
            </w:pPr>
            <w:r>
              <w:rPr>
                <w:kern w:val="0"/>
                <w:sz w:val="24"/>
              </w:rPr>
              <w:t>平均值</w:t>
            </w:r>
          </w:p>
        </w:tc>
        <w:tc>
          <w:tcPr>
            <w:tcW w:w="1175" w:type="dxa"/>
            <w:tcBorders>
              <w:top w:val="nil"/>
              <w:left w:val="nil"/>
              <w:bottom w:val="single" w:color="auto" w:sz="4" w:space="0"/>
              <w:right w:val="single" w:color="auto" w:sz="4" w:space="0"/>
            </w:tcBorders>
            <w:noWrap/>
            <w:vAlign w:val="center"/>
          </w:tcPr>
          <w:p w14:paraId="5F1AB95B">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1F45CF32">
            <w:pPr>
              <w:widowControl/>
              <w:jc w:val="center"/>
              <w:rPr>
                <w:kern w:val="0"/>
                <w:sz w:val="24"/>
              </w:rPr>
            </w:pPr>
            <w:r>
              <w:rPr>
                <w:kern w:val="0"/>
                <w:sz w:val="24"/>
              </w:rPr>
              <w:t>　</w:t>
            </w:r>
          </w:p>
        </w:tc>
        <w:tc>
          <w:tcPr>
            <w:tcW w:w="1005" w:type="dxa"/>
            <w:gridSpan w:val="2"/>
            <w:tcBorders>
              <w:top w:val="nil"/>
              <w:left w:val="nil"/>
              <w:bottom w:val="single" w:color="auto" w:sz="4" w:space="0"/>
              <w:right w:val="single" w:color="auto" w:sz="4" w:space="0"/>
            </w:tcBorders>
            <w:noWrap/>
            <w:vAlign w:val="center"/>
          </w:tcPr>
          <w:p w14:paraId="542A83A9">
            <w:pPr>
              <w:widowControl/>
              <w:jc w:val="center"/>
              <w:rPr>
                <w:kern w:val="0"/>
                <w:sz w:val="24"/>
              </w:rPr>
            </w:pPr>
            <w:r>
              <w:rPr>
                <w:kern w:val="0"/>
                <w:sz w:val="24"/>
              </w:rPr>
              <w:t>　</w:t>
            </w:r>
          </w:p>
        </w:tc>
        <w:tc>
          <w:tcPr>
            <w:tcW w:w="1005" w:type="dxa"/>
            <w:gridSpan w:val="2"/>
            <w:tcBorders>
              <w:top w:val="nil"/>
              <w:left w:val="nil"/>
              <w:bottom w:val="single" w:color="auto" w:sz="4" w:space="0"/>
              <w:right w:val="single" w:color="auto" w:sz="4" w:space="0"/>
            </w:tcBorders>
            <w:noWrap/>
            <w:vAlign w:val="center"/>
          </w:tcPr>
          <w:p w14:paraId="7E09C3B5">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57A5E45F">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123706D4">
            <w:pPr>
              <w:widowControl/>
              <w:jc w:val="center"/>
              <w:rPr>
                <w:kern w:val="0"/>
                <w:sz w:val="24"/>
              </w:rPr>
            </w:pPr>
          </w:p>
        </w:tc>
        <w:tc>
          <w:tcPr>
            <w:tcW w:w="1005" w:type="dxa"/>
            <w:tcBorders>
              <w:top w:val="nil"/>
              <w:left w:val="nil"/>
              <w:bottom w:val="single" w:color="auto" w:sz="4" w:space="0"/>
              <w:right w:val="single" w:color="auto" w:sz="4" w:space="0"/>
            </w:tcBorders>
            <w:noWrap/>
            <w:vAlign w:val="center"/>
          </w:tcPr>
          <w:p w14:paraId="640D9F39">
            <w:pPr>
              <w:widowControl/>
              <w:jc w:val="center"/>
              <w:rPr>
                <w:kern w:val="0"/>
                <w:sz w:val="24"/>
              </w:rPr>
            </w:pPr>
            <w:r>
              <w:rPr>
                <w:kern w:val="0"/>
                <w:sz w:val="24"/>
              </w:rPr>
              <w:t>　</w:t>
            </w:r>
          </w:p>
        </w:tc>
      </w:tr>
      <w:tr w14:paraId="6DA174EB">
        <w:tblPrEx>
          <w:tblCellMar>
            <w:top w:w="0" w:type="dxa"/>
            <w:left w:w="108" w:type="dxa"/>
            <w:bottom w:w="0" w:type="dxa"/>
            <w:right w:w="108" w:type="dxa"/>
          </w:tblCellMar>
        </w:tblPrEx>
        <w:trPr>
          <w:trHeight w:val="170" w:hRule="atLeast"/>
          <w:jc w:val="center"/>
        </w:trPr>
        <w:tc>
          <w:tcPr>
            <w:tcW w:w="2047" w:type="dxa"/>
            <w:tcBorders>
              <w:top w:val="nil"/>
              <w:left w:val="single" w:color="auto" w:sz="4" w:space="0"/>
              <w:bottom w:val="single" w:color="auto" w:sz="4" w:space="0"/>
              <w:right w:val="single" w:color="auto" w:sz="4" w:space="0"/>
            </w:tcBorders>
            <w:noWrap/>
            <w:vAlign w:val="center"/>
          </w:tcPr>
          <w:p w14:paraId="5DCB2C68">
            <w:pPr>
              <w:widowControl/>
              <w:jc w:val="center"/>
              <w:rPr>
                <w:kern w:val="0"/>
                <w:sz w:val="24"/>
              </w:rPr>
            </w:pPr>
            <w:r>
              <w:rPr>
                <w:kern w:val="0"/>
                <w:sz w:val="24"/>
              </w:rPr>
              <w:t>最大值</w:t>
            </w:r>
          </w:p>
        </w:tc>
        <w:tc>
          <w:tcPr>
            <w:tcW w:w="1175" w:type="dxa"/>
            <w:tcBorders>
              <w:top w:val="nil"/>
              <w:left w:val="nil"/>
              <w:bottom w:val="single" w:color="auto" w:sz="4" w:space="0"/>
              <w:right w:val="single" w:color="auto" w:sz="4" w:space="0"/>
            </w:tcBorders>
            <w:noWrap/>
            <w:vAlign w:val="center"/>
          </w:tcPr>
          <w:p w14:paraId="56738864">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294452C6">
            <w:pPr>
              <w:widowControl/>
              <w:jc w:val="center"/>
              <w:rPr>
                <w:kern w:val="0"/>
                <w:sz w:val="24"/>
              </w:rPr>
            </w:pPr>
            <w:r>
              <w:rPr>
                <w:kern w:val="0"/>
                <w:sz w:val="24"/>
              </w:rPr>
              <w:t>　</w:t>
            </w:r>
          </w:p>
        </w:tc>
        <w:tc>
          <w:tcPr>
            <w:tcW w:w="1005" w:type="dxa"/>
            <w:gridSpan w:val="2"/>
            <w:tcBorders>
              <w:top w:val="nil"/>
              <w:left w:val="nil"/>
              <w:bottom w:val="single" w:color="auto" w:sz="4" w:space="0"/>
              <w:right w:val="single" w:color="auto" w:sz="4" w:space="0"/>
            </w:tcBorders>
            <w:noWrap/>
            <w:vAlign w:val="center"/>
          </w:tcPr>
          <w:p w14:paraId="3D2845BB">
            <w:pPr>
              <w:widowControl/>
              <w:jc w:val="center"/>
              <w:rPr>
                <w:kern w:val="0"/>
                <w:sz w:val="24"/>
              </w:rPr>
            </w:pPr>
            <w:r>
              <w:rPr>
                <w:kern w:val="0"/>
                <w:sz w:val="24"/>
              </w:rPr>
              <w:t>　</w:t>
            </w:r>
          </w:p>
        </w:tc>
        <w:tc>
          <w:tcPr>
            <w:tcW w:w="1005" w:type="dxa"/>
            <w:gridSpan w:val="2"/>
            <w:tcBorders>
              <w:top w:val="nil"/>
              <w:left w:val="nil"/>
              <w:bottom w:val="single" w:color="auto" w:sz="4" w:space="0"/>
              <w:right w:val="single" w:color="auto" w:sz="4" w:space="0"/>
            </w:tcBorders>
            <w:noWrap/>
            <w:vAlign w:val="center"/>
          </w:tcPr>
          <w:p w14:paraId="4D07DB91">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417F3233">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47B5B747">
            <w:pPr>
              <w:widowControl/>
              <w:jc w:val="center"/>
              <w:rPr>
                <w:kern w:val="0"/>
                <w:sz w:val="24"/>
              </w:rPr>
            </w:pPr>
          </w:p>
        </w:tc>
        <w:tc>
          <w:tcPr>
            <w:tcW w:w="1005" w:type="dxa"/>
            <w:tcBorders>
              <w:top w:val="nil"/>
              <w:left w:val="nil"/>
              <w:bottom w:val="single" w:color="auto" w:sz="4" w:space="0"/>
              <w:right w:val="single" w:color="auto" w:sz="4" w:space="0"/>
            </w:tcBorders>
            <w:noWrap/>
            <w:vAlign w:val="center"/>
          </w:tcPr>
          <w:p w14:paraId="2144F616">
            <w:pPr>
              <w:widowControl/>
              <w:jc w:val="center"/>
              <w:rPr>
                <w:kern w:val="0"/>
                <w:sz w:val="24"/>
              </w:rPr>
            </w:pPr>
            <w:r>
              <w:rPr>
                <w:kern w:val="0"/>
                <w:sz w:val="24"/>
              </w:rPr>
              <w:t>　</w:t>
            </w:r>
          </w:p>
        </w:tc>
      </w:tr>
      <w:tr w14:paraId="0F296BD0">
        <w:tblPrEx>
          <w:tblCellMar>
            <w:top w:w="0" w:type="dxa"/>
            <w:left w:w="108" w:type="dxa"/>
            <w:bottom w:w="0" w:type="dxa"/>
            <w:right w:w="108" w:type="dxa"/>
          </w:tblCellMar>
        </w:tblPrEx>
        <w:trPr>
          <w:trHeight w:val="170" w:hRule="atLeast"/>
          <w:jc w:val="center"/>
        </w:trPr>
        <w:tc>
          <w:tcPr>
            <w:tcW w:w="2047" w:type="dxa"/>
            <w:tcBorders>
              <w:top w:val="nil"/>
              <w:left w:val="single" w:color="auto" w:sz="4" w:space="0"/>
              <w:bottom w:val="single" w:color="auto" w:sz="4" w:space="0"/>
              <w:right w:val="single" w:color="auto" w:sz="4" w:space="0"/>
            </w:tcBorders>
            <w:noWrap/>
            <w:vAlign w:val="center"/>
          </w:tcPr>
          <w:p w14:paraId="660F4DC9">
            <w:pPr>
              <w:widowControl/>
              <w:jc w:val="center"/>
              <w:rPr>
                <w:kern w:val="0"/>
                <w:sz w:val="24"/>
              </w:rPr>
            </w:pPr>
            <w:r>
              <w:rPr>
                <w:kern w:val="0"/>
                <w:sz w:val="24"/>
              </w:rPr>
              <w:t>最小值</w:t>
            </w:r>
          </w:p>
        </w:tc>
        <w:tc>
          <w:tcPr>
            <w:tcW w:w="1175" w:type="dxa"/>
            <w:tcBorders>
              <w:top w:val="nil"/>
              <w:left w:val="nil"/>
              <w:bottom w:val="single" w:color="auto" w:sz="4" w:space="0"/>
              <w:right w:val="single" w:color="auto" w:sz="4" w:space="0"/>
            </w:tcBorders>
            <w:noWrap/>
            <w:vAlign w:val="center"/>
          </w:tcPr>
          <w:p w14:paraId="7427FFF1">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3D92BE48">
            <w:pPr>
              <w:widowControl/>
              <w:jc w:val="center"/>
              <w:rPr>
                <w:kern w:val="0"/>
                <w:sz w:val="24"/>
              </w:rPr>
            </w:pPr>
            <w:r>
              <w:rPr>
                <w:kern w:val="0"/>
                <w:sz w:val="24"/>
              </w:rPr>
              <w:t>　</w:t>
            </w:r>
          </w:p>
        </w:tc>
        <w:tc>
          <w:tcPr>
            <w:tcW w:w="1005" w:type="dxa"/>
            <w:gridSpan w:val="2"/>
            <w:tcBorders>
              <w:top w:val="nil"/>
              <w:left w:val="nil"/>
              <w:bottom w:val="single" w:color="auto" w:sz="4" w:space="0"/>
              <w:right w:val="single" w:color="auto" w:sz="4" w:space="0"/>
            </w:tcBorders>
            <w:noWrap/>
            <w:vAlign w:val="center"/>
          </w:tcPr>
          <w:p w14:paraId="419AA234">
            <w:pPr>
              <w:widowControl/>
              <w:jc w:val="center"/>
              <w:rPr>
                <w:kern w:val="0"/>
                <w:sz w:val="24"/>
              </w:rPr>
            </w:pPr>
            <w:r>
              <w:rPr>
                <w:kern w:val="0"/>
                <w:sz w:val="24"/>
              </w:rPr>
              <w:t>　</w:t>
            </w:r>
          </w:p>
        </w:tc>
        <w:tc>
          <w:tcPr>
            <w:tcW w:w="1005" w:type="dxa"/>
            <w:gridSpan w:val="2"/>
            <w:tcBorders>
              <w:top w:val="nil"/>
              <w:left w:val="nil"/>
              <w:bottom w:val="single" w:color="auto" w:sz="4" w:space="0"/>
              <w:right w:val="single" w:color="auto" w:sz="4" w:space="0"/>
            </w:tcBorders>
            <w:noWrap/>
            <w:vAlign w:val="center"/>
          </w:tcPr>
          <w:p w14:paraId="644D7AC2">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0B6B4477">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2D2E307F">
            <w:pPr>
              <w:widowControl/>
              <w:jc w:val="center"/>
              <w:rPr>
                <w:kern w:val="0"/>
                <w:sz w:val="24"/>
              </w:rPr>
            </w:pPr>
          </w:p>
        </w:tc>
        <w:tc>
          <w:tcPr>
            <w:tcW w:w="1005" w:type="dxa"/>
            <w:tcBorders>
              <w:top w:val="nil"/>
              <w:left w:val="nil"/>
              <w:bottom w:val="single" w:color="auto" w:sz="4" w:space="0"/>
              <w:right w:val="single" w:color="auto" w:sz="4" w:space="0"/>
            </w:tcBorders>
            <w:noWrap/>
            <w:vAlign w:val="center"/>
          </w:tcPr>
          <w:p w14:paraId="60073281">
            <w:pPr>
              <w:widowControl/>
              <w:jc w:val="center"/>
              <w:rPr>
                <w:kern w:val="0"/>
                <w:sz w:val="24"/>
              </w:rPr>
            </w:pPr>
            <w:r>
              <w:rPr>
                <w:kern w:val="0"/>
                <w:sz w:val="24"/>
              </w:rPr>
              <w:t>　</w:t>
            </w:r>
          </w:p>
        </w:tc>
      </w:tr>
      <w:tr w14:paraId="44A631CC">
        <w:tblPrEx>
          <w:tblCellMar>
            <w:top w:w="0" w:type="dxa"/>
            <w:left w:w="108" w:type="dxa"/>
            <w:bottom w:w="0" w:type="dxa"/>
            <w:right w:w="108" w:type="dxa"/>
          </w:tblCellMar>
        </w:tblPrEx>
        <w:trPr>
          <w:trHeight w:val="170" w:hRule="atLeast"/>
          <w:jc w:val="center"/>
        </w:trPr>
        <w:tc>
          <w:tcPr>
            <w:tcW w:w="2047" w:type="dxa"/>
            <w:tcBorders>
              <w:top w:val="nil"/>
              <w:left w:val="single" w:color="auto" w:sz="4" w:space="0"/>
              <w:bottom w:val="single" w:color="auto" w:sz="4" w:space="0"/>
              <w:right w:val="single" w:color="auto" w:sz="4" w:space="0"/>
            </w:tcBorders>
            <w:noWrap/>
            <w:vAlign w:val="center"/>
          </w:tcPr>
          <w:p w14:paraId="4319C216">
            <w:pPr>
              <w:widowControl/>
              <w:jc w:val="center"/>
              <w:rPr>
                <w:kern w:val="0"/>
                <w:sz w:val="24"/>
              </w:rPr>
            </w:pPr>
            <w:r>
              <w:rPr>
                <w:kern w:val="0"/>
                <w:sz w:val="24"/>
              </w:rPr>
              <w:t>示值误差</w:t>
            </w:r>
          </w:p>
        </w:tc>
        <w:tc>
          <w:tcPr>
            <w:tcW w:w="1175" w:type="dxa"/>
            <w:tcBorders>
              <w:top w:val="nil"/>
              <w:left w:val="nil"/>
              <w:bottom w:val="single" w:color="auto" w:sz="4" w:space="0"/>
              <w:right w:val="single" w:color="auto" w:sz="4" w:space="0"/>
            </w:tcBorders>
            <w:noWrap/>
            <w:vAlign w:val="center"/>
          </w:tcPr>
          <w:p w14:paraId="4E379052">
            <w:pPr>
              <w:widowControl/>
              <w:jc w:val="center"/>
              <w:rPr>
                <w:kern w:val="0"/>
                <w:sz w:val="24"/>
              </w:rPr>
            </w:pPr>
            <w:r>
              <w:rPr>
                <w:kern w:val="0"/>
                <w:sz w:val="24"/>
              </w:rPr>
              <w:t>/</w:t>
            </w:r>
          </w:p>
        </w:tc>
        <w:tc>
          <w:tcPr>
            <w:tcW w:w="1005" w:type="dxa"/>
            <w:tcBorders>
              <w:top w:val="nil"/>
              <w:left w:val="nil"/>
              <w:bottom w:val="single" w:color="auto" w:sz="4" w:space="0"/>
              <w:right w:val="single" w:color="auto" w:sz="4" w:space="0"/>
            </w:tcBorders>
            <w:noWrap/>
            <w:vAlign w:val="center"/>
          </w:tcPr>
          <w:p w14:paraId="44A87AD2">
            <w:pPr>
              <w:widowControl/>
              <w:jc w:val="center"/>
              <w:rPr>
                <w:kern w:val="0"/>
                <w:sz w:val="24"/>
              </w:rPr>
            </w:pPr>
            <w:r>
              <w:rPr>
                <w:kern w:val="0"/>
                <w:sz w:val="24"/>
              </w:rPr>
              <w:t>　</w:t>
            </w:r>
          </w:p>
        </w:tc>
        <w:tc>
          <w:tcPr>
            <w:tcW w:w="1005" w:type="dxa"/>
            <w:gridSpan w:val="2"/>
            <w:tcBorders>
              <w:top w:val="nil"/>
              <w:left w:val="nil"/>
              <w:bottom w:val="single" w:color="auto" w:sz="4" w:space="0"/>
              <w:right w:val="single" w:color="auto" w:sz="4" w:space="0"/>
            </w:tcBorders>
            <w:noWrap/>
            <w:vAlign w:val="center"/>
          </w:tcPr>
          <w:p w14:paraId="0E7CACC0">
            <w:pPr>
              <w:widowControl/>
              <w:jc w:val="center"/>
              <w:rPr>
                <w:kern w:val="0"/>
                <w:sz w:val="24"/>
              </w:rPr>
            </w:pPr>
            <w:r>
              <w:rPr>
                <w:kern w:val="0"/>
                <w:sz w:val="24"/>
              </w:rPr>
              <w:t>　</w:t>
            </w:r>
          </w:p>
        </w:tc>
        <w:tc>
          <w:tcPr>
            <w:tcW w:w="1005" w:type="dxa"/>
            <w:gridSpan w:val="2"/>
            <w:tcBorders>
              <w:top w:val="nil"/>
              <w:left w:val="nil"/>
              <w:bottom w:val="single" w:color="auto" w:sz="4" w:space="0"/>
              <w:right w:val="single" w:color="auto" w:sz="4" w:space="0"/>
            </w:tcBorders>
            <w:noWrap/>
            <w:vAlign w:val="center"/>
          </w:tcPr>
          <w:p w14:paraId="5FFBE8C9">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5E1E5935">
            <w:pPr>
              <w:widowControl/>
              <w:jc w:val="center"/>
              <w:rPr>
                <w:kern w:val="0"/>
                <w:sz w:val="24"/>
              </w:rPr>
            </w:pPr>
            <w:r>
              <w:rPr>
                <w:kern w:val="0"/>
                <w:sz w:val="24"/>
              </w:rPr>
              <w:t>　</w:t>
            </w:r>
          </w:p>
        </w:tc>
        <w:tc>
          <w:tcPr>
            <w:tcW w:w="1005" w:type="dxa"/>
            <w:tcBorders>
              <w:top w:val="nil"/>
              <w:left w:val="nil"/>
              <w:bottom w:val="single" w:color="auto" w:sz="4" w:space="0"/>
              <w:right w:val="single" w:color="auto" w:sz="4" w:space="0"/>
            </w:tcBorders>
            <w:noWrap/>
            <w:vAlign w:val="center"/>
          </w:tcPr>
          <w:p w14:paraId="4D513F90">
            <w:pPr>
              <w:widowControl/>
              <w:jc w:val="center"/>
              <w:rPr>
                <w:kern w:val="0"/>
                <w:sz w:val="24"/>
              </w:rPr>
            </w:pPr>
          </w:p>
        </w:tc>
        <w:tc>
          <w:tcPr>
            <w:tcW w:w="1005" w:type="dxa"/>
            <w:tcBorders>
              <w:top w:val="nil"/>
              <w:left w:val="nil"/>
              <w:bottom w:val="single" w:color="auto" w:sz="4" w:space="0"/>
              <w:right w:val="single" w:color="auto" w:sz="4" w:space="0"/>
            </w:tcBorders>
            <w:noWrap/>
            <w:vAlign w:val="center"/>
          </w:tcPr>
          <w:p w14:paraId="41005413">
            <w:pPr>
              <w:widowControl/>
              <w:jc w:val="center"/>
              <w:rPr>
                <w:kern w:val="0"/>
                <w:sz w:val="24"/>
              </w:rPr>
            </w:pPr>
            <w:r>
              <w:rPr>
                <w:kern w:val="0"/>
                <w:sz w:val="24"/>
              </w:rPr>
              <w:t>　</w:t>
            </w:r>
          </w:p>
        </w:tc>
      </w:tr>
      <w:tr w14:paraId="5D55EB76">
        <w:tblPrEx>
          <w:tblCellMar>
            <w:top w:w="0" w:type="dxa"/>
            <w:left w:w="108" w:type="dxa"/>
            <w:bottom w:w="0" w:type="dxa"/>
            <w:right w:w="108" w:type="dxa"/>
          </w:tblCellMar>
        </w:tblPrEx>
        <w:trPr>
          <w:trHeight w:val="170" w:hRule="atLeast"/>
          <w:jc w:val="center"/>
        </w:trPr>
        <w:tc>
          <w:tcPr>
            <w:tcW w:w="2047" w:type="dxa"/>
            <w:tcBorders>
              <w:top w:val="nil"/>
              <w:left w:val="single" w:color="auto" w:sz="4" w:space="0"/>
              <w:bottom w:val="single" w:color="auto" w:sz="4" w:space="0"/>
              <w:right w:val="single" w:color="auto" w:sz="4" w:space="0"/>
            </w:tcBorders>
            <w:noWrap/>
            <w:vAlign w:val="center"/>
          </w:tcPr>
          <w:p w14:paraId="36D1313B">
            <w:pPr>
              <w:widowControl/>
              <w:jc w:val="center"/>
              <w:rPr>
                <w:kern w:val="0"/>
                <w:sz w:val="24"/>
              </w:rPr>
            </w:pPr>
            <w:r>
              <w:rPr>
                <w:kern w:val="0"/>
                <w:sz w:val="24"/>
              </w:rPr>
              <w:t>示值一致性</w:t>
            </w:r>
          </w:p>
        </w:tc>
        <w:tc>
          <w:tcPr>
            <w:tcW w:w="1175" w:type="dxa"/>
            <w:tcBorders>
              <w:top w:val="nil"/>
              <w:left w:val="nil"/>
              <w:bottom w:val="single" w:color="auto" w:sz="4" w:space="0"/>
              <w:right w:val="single" w:color="auto" w:sz="4" w:space="0"/>
            </w:tcBorders>
            <w:noWrap/>
            <w:vAlign w:val="center"/>
          </w:tcPr>
          <w:p w14:paraId="125A8146">
            <w:pPr>
              <w:widowControl/>
              <w:jc w:val="center"/>
              <w:rPr>
                <w:kern w:val="0"/>
                <w:sz w:val="24"/>
              </w:rPr>
            </w:pPr>
            <w:r>
              <w:rPr>
                <w:kern w:val="0"/>
                <w:sz w:val="24"/>
              </w:rPr>
              <w:t>/</w:t>
            </w:r>
          </w:p>
        </w:tc>
        <w:tc>
          <w:tcPr>
            <w:tcW w:w="6030" w:type="dxa"/>
            <w:gridSpan w:val="8"/>
            <w:tcBorders>
              <w:top w:val="nil"/>
              <w:left w:val="nil"/>
              <w:bottom w:val="single" w:color="auto" w:sz="4" w:space="0"/>
              <w:right w:val="single" w:color="auto" w:sz="4" w:space="0"/>
            </w:tcBorders>
            <w:noWrap/>
            <w:vAlign w:val="center"/>
          </w:tcPr>
          <w:p w14:paraId="351E0FEE">
            <w:pPr>
              <w:widowControl/>
              <w:jc w:val="center"/>
              <w:rPr>
                <w:kern w:val="0"/>
                <w:sz w:val="24"/>
              </w:rPr>
            </w:pPr>
          </w:p>
        </w:tc>
      </w:tr>
      <w:tr w14:paraId="6954B129">
        <w:tblPrEx>
          <w:tblCellMar>
            <w:top w:w="0" w:type="dxa"/>
            <w:left w:w="108" w:type="dxa"/>
            <w:bottom w:w="0" w:type="dxa"/>
            <w:right w:w="108" w:type="dxa"/>
          </w:tblCellMar>
        </w:tblPrEx>
        <w:trPr>
          <w:trHeight w:val="170" w:hRule="atLeast"/>
          <w:jc w:val="center"/>
        </w:trPr>
        <w:tc>
          <w:tcPr>
            <w:tcW w:w="2047" w:type="dxa"/>
            <w:tcBorders>
              <w:top w:val="nil"/>
              <w:left w:val="single" w:color="auto" w:sz="4" w:space="0"/>
              <w:bottom w:val="single" w:color="auto" w:sz="4" w:space="0"/>
              <w:right w:val="single" w:color="auto" w:sz="4" w:space="0"/>
            </w:tcBorders>
            <w:noWrap/>
            <w:vAlign w:val="center"/>
          </w:tcPr>
          <w:p w14:paraId="4436EB14">
            <w:pPr>
              <w:widowControl/>
              <w:jc w:val="center"/>
              <w:rPr>
                <w:kern w:val="0"/>
                <w:sz w:val="24"/>
              </w:rPr>
            </w:pPr>
            <w:r>
              <w:rPr>
                <w:kern w:val="0"/>
                <w:sz w:val="24"/>
              </w:rPr>
              <w:t>不确定度（</w:t>
            </w:r>
            <w:r>
              <w:rPr>
                <w:i/>
                <w:kern w:val="0"/>
                <w:sz w:val="24"/>
              </w:rPr>
              <w:t>k</w:t>
            </w:r>
            <w:r>
              <w:rPr>
                <w:kern w:val="0"/>
                <w:sz w:val="24"/>
              </w:rPr>
              <w:t>=2）</w:t>
            </w:r>
          </w:p>
        </w:tc>
        <w:tc>
          <w:tcPr>
            <w:tcW w:w="1175" w:type="dxa"/>
            <w:tcBorders>
              <w:top w:val="nil"/>
              <w:left w:val="nil"/>
              <w:bottom w:val="single" w:color="auto" w:sz="4" w:space="0"/>
              <w:right w:val="single" w:color="auto" w:sz="4" w:space="0"/>
            </w:tcBorders>
            <w:noWrap/>
            <w:vAlign w:val="center"/>
          </w:tcPr>
          <w:p w14:paraId="09E5369C">
            <w:pPr>
              <w:widowControl/>
              <w:jc w:val="center"/>
              <w:rPr>
                <w:kern w:val="0"/>
                <w:sz w:val="24"/>
              </w:rPr>
            </w:pPr>
            <w:r>
              <w:rPr>
                <w:kern w:val="0"/>
                <w:sz w:val="24"/>
              </w:rPr>
              <w:t>/</w:t>
            </w:r>
          </w:p>
        </w:tc>
        <w:tc>
          <w:tcPr>
            <w:tcW w:w="1005" w:type="dxa"/>
            <w:tcBorders>
              <w:top w:val="nil"/>
              <w:left w:val="nil"/>
              <w:bottom w:val="single" w:color="auto" w:sz="4" w:space="0"/>
              <w:right w:val="single" w:color="auto" w:sz="4" w:space="0"/>
            </w:tcBorders>
            <w:noWrap/>
            <w:vAlign w:val="center"/>
          </w:tcPr>
          <w:p w14:paraId="396CB811">
            <w:pPr>
              <w:widowControl/>
              <w:jc w:val="center"/>
              <w:rPr>
                <w:kern w:val="0"/>
                <w:sz w:val="24"/>
              </w:rPr>
            </w:pPr>
          </w:p>
        </w:tc>
        <w:tc>
          <w:tcPr>
            <w:tcW w:w="1005" w:type="dxa"/>
            <w:gridSpan w:val="2"/>
            <w:tcBorders>
              <w:top w:val="nil"/>
              <w:left w:val="nil"/>
              <w:bottom w:val="single" w:color="auto" w:sz="4" w:space="0"/>
              <w:right w:val="single" w:color="auto" w:sz="4" w:space="0"/>
            </w:tcBorders>
            <w:vAlign w:val="center"/>
          </w:tcPr>
          <w:p w14:paraId="1ADE4343">
            <w:pPr>
              <w:widowControl/>
              <w:jc w:val="center"/>
              <w:rPr>
                <w:kern w:val="0"/>
                <w:sz w:val="24"/>
              </w:rPr>
            </w:pPr>
          </w:p>
        </w:tc>
        <w:tc>
          <w:tcPr>
            <w:tcW w:w="1005" w:type="dxa"/>
            <w:gridSpan w:val="2"/>
            <w:tcBorders>
              <w:top w:val="nil"/>
              <w:left w:val="nil"/>
              <w:bottom w:val="single" w:color="auto" w:sz="4" w:space="0"/>
              <w:right w:val="single" w:color="auto" w:sz="4" w:space="0"/>
            </w:tcBorders>
            <w:vAlign w:val="center"/>
          </w:tcPr>
          <w:p w14:paraId="5BC72812">
            <w:pPr>
              <w:widowControl/>
              <w:jc w:val="center"/>
              <w:rPr>
                <w:kern w:val="0"/>
                <w:sz w:val="24"/>
              </w:rPr>
            </w:pPr>
          </w:p>
        </w:tc>
        <w:tc>
          <w:tcPr>
            <w:tcW w:w="1005" w:type="dxa"/>
            <w:tcBorders>
              <w:top w:val="nil"/>
              <w:left w:val="nil"/>
              <w:bottom w:val="single" w:color="auto" w:sz="4" w:space="0"/>
              <w:right w:val="single" w:color="auto" w:sz="4" w:space="0"/>
            </w:tcBorders>
            <w:vAlign w:val="center"/>
          </w:tcPr>
          <w:p w14:paraId="0259265D">
            <w:pPr>
              <w:widowControl/>
              <w:jc w:val="center"/>
              <w:rPr>
                <w:kern w:val="0"/>
                <w:sz w:val="24"/>
              </w:rPr>
            </w:pPr>
          </w:p>
        </w:tc>
        <w:tc>
          <w:tcPr>
            <w:tcW w:w="1005" w:type="dxa"/>
            <w:tcBorders>
              <w:top w:val="nil"/>
              <w:left w:val="nil"/>
              <w:bottom w:val="single" w:color="auto" w:sz="4" w:space="0"/>
              <w:right w:val="single" w:color="auto" w:sz="4" w:space="0"/>
            </w:tcBorders>
            <w:vAlign w:val="center"/>
          </w:tcPr>
          <w:p w14:paraId="31217FE0">
            <w:pPr>
              <w:widowControl/>
              <w:jc w:val="center"/>
              <w:rPr>
                <w:kern w:val="0"/>
                <w:sz w:val="24"/>
              </w:rPr>
            </w:pPr>
          </w:p>
        </w:tc>
        <w:tc>
          <w:tcPr>
            <w:tcW w:w="1005" w:type="dxa"/>
            <w:tcBorders>
              <w:top w:val="nil"/>
              <w:left w:val="nil"/>
              <w:bottom w:val="single" w:color="auto" w:sz="4" w:space="0"/>
              <w:right w:val="single" w:color="auto" w:sz="4" w:space="0"/>
            </w:tcBorders>
            <w:vAlign w:val="center"/>
          </w:tcPr>
          <w:p w14:paraId="6D336FCB">
            <w:pPr>
              <w:widowControl/>
              <w:jc w:val="center"/>
              <w:rPr>
                <w:kern w:val="0"/>
                <w:sz w:val="24"/>
              </w:rPr>
            </w:pPr>
          </w:p>
        </w:tc>
      </w:tr>
    </w:tbl>
    <w:p w14:paraId="711D59D1">
      <w:pPr>
        <w:widowControl/>
        <w:ind w:firstLine="5160" w:firstLineChars="2150"/>
        <w:jc w:val="left"/>
        <w:rPr>
          <w:kern w:val="0"/>
          <w:sz w:val="24"/>
        </w:rPr>
      </w:pPr>
      <w:r>
        <w:rPr>
          <w:kern w:val="0"/>
          <w:sz w:val="24"/>
        </w:rPr>
        <w:t>校准员：核验员：</w:t>
      </w:r>
    </w:p>
    <w:p w14:paraId="6FB89313">
      <w:pPr>
        <w:widowControl/>
        <w:jc w:val="left"/>
        <w:rPr>
          <w:kern w:val="0"/>
          <w:sz w:val="24"/>
        </w:rPr>
      </w:pPr>
      <w:r>
        <w:rPr>
          <w:kern w:val="0"/>
          <w:sz w:val="24"/>
        </w:rPr>
        <w:br w:type="page"/>
      </w:r>
    </w:p>
    <w:p w14:paraId="16EF3C23">
      <w:pPr>
        <w:pStyle w:val="2"/>
        <w:spacing w:before="100" w:after="100"/>
        <w:rPr>
          <w:rFonts w:eastAsia="黑体"/>
          <w:b w:val="0"/>
          <w:sz w:val="28"/>
          <w:szCs w:val="28"/>
        </w:rPr>
      </w:pPr>
      <w:bookmarkStart w:id="26" w:name="_Toc192517519"/>
      <w:r>
        <w:rPr>
          <w:rFonts w:eastAsia="黑体"/>
          <w:b w:val="0"/>
          <w:sz w:val="28"/>
          <w:szCs w:val="28"/>
        </w:rPr>
        <w:t>附录</w:t>
      </w:r>
      <w:r>
        <w:rPr>
          <w:rFonts w:hint="eastAsia" w:eastAsia="黑体"/>
          <w:b w:val="0"/>
          <w:sz w:val="28"/>
          <w:szCs w:val="28"/>
        </w:rPr>
        <w:t>B</w:t>
      </w:r>
      <w:r>
        <w:rPr>
          <w:rFonts w:eastAsia="黑体"/>
          <w:b w:val="0"/>
          <w:sz w:val="28"/>
          <w:szCs w:val="28"/>
        </w:rPr>
        <w:t>炉温跟踪仪校准</w:t>
      </w:r>
      <w:r>
        <w:rPr>
          <w:rFonts w:hint="eastAsia" w:eastAsia="黑体"/>
          <w:b w:val="0"/>
          <w:sz w:val="28"/>
          <w:szCs w:val="28"/>
        </w:rPr>
        <w:t>证书</w:t>
      </w:r>
      <w:r>
        <w:rPr>
          <w:rFonts w:eastAsia="黑体"/>
          <w:b w:val="0"/>
          <w:sz w:val="28"/>
          <w:szCs w:val="28"/>
        </w:rPr>
        <w:t>参考格式</w:t>
      </w:r>
      <w:bookmarkEnd w:id="26"/>
    </w:p>
    <w:p w14:paraId="72E2C47B">
      <w:pPr>
        <w:spacing w:after="156" w:afterLines="50"/>
        <w:jc w:val="center"/>
        <w:rPr>
          <w:rFonts w:eastAsia="黑体"/>
          <w:sz w:val="28"/>
          <w:szCs w:val="28"/>
        </w:rPr>
      </w:pPr>
      <w:r>
        <w:rPr>
          <w:rFonts w:eastAsia="黑体"/>
          <w:sz w:val="28"/>
          <w:szCs w:val="28"/>
        </w:rPr>
        <w:t>炉温跟踪仪校准</w:t>
      </w:r>
      <w:r>
        <w:rPr>
          <w:rFonts w:hint="eastAsia" w:eastAsia="黑体"/>
          <w:sz w:val="28"/>
          <w:szCs w:val="28"/>
        </w:rPr>
        <w:t>证书</w:t>
      </w:r>
      <w:r>
        <w:rPr>
          <w:rFonts w:eastAsia="黑体"/>
          <w:sz w:val="28"/>
          <w:szCs w:val="28"/>
        </w:rPr>
        <w:t>参考格式</w:t>
      </w:r>
    </w:p>
    <w:p w14:paraId="4D1972B8">
      <w:pPr>
        <w:rPr>
          <w:bCs/>
          <w:kern w:val="44"/>
        </w:rPr>
      </w:pPr>
      <w:r>
        <w:rPr>
          <w:rFonts w:hint="eastAsia"/>
          <w:bCs/>
          <w:kern w:val="44"/>
        </w:rPr>
        <w:t>1.校准前检查</w:t>
      </w:r>
    </w:p>
    <w:tbl>
      <w:tblPr>
        <w:tblStyle w:val="35"/>
        <w:tblW w:w="9143" w:type="dxa"/>
        <w:jc w:val="center"/>
        <w:tblLayout w:type="fixed"/>
        <w:tblCellMar>
          <w:top w:w="0" w:type="dxa"/>
          <w:left w:w="108" w:type="dxa"/>
          <w:bottom w:w="0" w:type="dxa"/>
          <w:right w:w="108" w:type="dxa"/>
        </w:tblCellMar>
      </w:tblPr>
      <w:tblGrid>
        <w:gridCol w:w="1630"/>
        <w:gridCol w:w="1922"/>
        <w:gridCol w:w="1985"/>
        <w:gridCol w:w="1701"/>
        <w:gridCol w:w="1905"/>
      </w:tblGrid>
      <w:tr w14:paraId="5C1ED09E">
        <w:tblPrEx>
          <w:tblCellMar>
            <w:top w:w="0" w:type="dxa"/>
            <w:left w:w="108" w:type="dxa"/>
            <w:bottom w:w="0" w:type="dxa"/>
            <w:right w:w="108" w:type="dxa"/>
          </w:tblCellMar>
        </w:tblPrEx>
        <w:trPr>
          <w:trHeight w:val="740" w:hRule="atLeast"/>
          <w:jc w:val="center"/>
        </w:trPr>
        <w:tc>
          <w:tcPr>
            <w:tcW w:w="1630" w:type="dxa"/>
            <w:tcBorders>
              <w:top w:val="single" w:color="auto" w:sz="4" w:space="0"/>
              <w:left w:val="single" w:color="auto" w:sz="4" w:space="0"/>
              <w:bottom w:val="single" w:color="auto" w:sz="4" w:space="0"/>
              <w:right w:val="single" w:color="auto" w:sz="4" w:space="0"/>
            </w:tcBorders>
            <w:vAlign w:val="center"/>
          </w:tcPr>
          <w:p w14:paraId="6452CD64">
            <w:pPr>
              <w:widowControl/>
              <w:jc w:val="center"/>
              <w:rPr>
                <w:kern w:val="0"/>
                <w:sz w:val="24"/>
              </w:rPr>
            </w:pPr>
            <w:r>
              <w:rPr>
                <w:rFonts w:hint="eastAsia"/>
                <w:kern w:val="0"/>
                <w:sz w:val="24"/>
              </w:rPr>
              <w:t>检查项目</w:t>
            </w:r>
          </w:p>
        </w:tc>
        <w:tc>
          <w:tcPr>
            <w:tcW w:w="1922" w:type="dxa"/>
            <w:tcBorders>
              <w:top w:val="single" w:color="auto" w:sz="4" w:space="0"/>
              <w:left w:val="single" w:color="auto" w:sz="4" w:space="0"/>
              <w:bottom w:val="single" w:color="auto" w:sz="4" w:space="0"/>
              <w:right w:val="single" w:color="auto" w:sz="4" w:space="0"/>
            </w:tcBorders>
            <w:vAlign w:val="center"/>
          </w:tcPr>
          <w:p w14:paraId="579E5948">
            <w:pPr>
              <w:widowControl/>
              <w:jc w:val="center"/>
              <w:rPr>
                <w:kern w:val="0"/>
                <w:sz w:val="24"/>
              </w:rPr>
            </w:pPr>
            <w:r>
              <w:rPr>
                <w:rFonts w:hint="eastAsia"/>
                <w:kern w:val="0"/>
                <w:sz w:val="24"/>
              </w:rPr>
              <w:t>外观</w:t>
            </w:r>
          </w:p>
        </w:tc>
        <w:tc>
          <w:tcPr>
            <w:tcW w:w="1985" w:type="dxa"/>
            <w:tcBorders>
              <w:top w:val="single" w:color="auto" w:sz="4" w:space="0"/>
              <w:left w:val="nil"/>
              <w:bottom w:val="single" w:color="auto" w:sz="4" w:space="0"/>
              <w:right w:val="single" w:color="auto" w:sz="4" w:space="0"/>
            </w:tcBorders>
            <w:vAlign w:val="center"/>
          </w:tcPr>
          <w:p w14:paraId="70D404D5">
            <w:pPr>
              <w:widowControl/>
              <w:jc w:val="center"/>
              <w:rPr>
                <w:kern w:val="0"/>
                <w:sz w:val="24"/>
              </w:rPr>
            </w:pPr>
            <w:r>
              <w:rPr>
                <w:rFonts w:hint="eastAsia"/>
                <w:kern w:val="0"/>
                <w:sz w:val="24"/>
              </w:rPr>
              <w:t>记录间隔</w:t>
            </w:r>
          </w:p>
        </w:tc>
        <w:tc>
          <w:tcPr>
            <w:tcW w:w="1701" w:type="dxa"/>
            <w:tcBorders>
              <w:top w:val="single" w:color="auto" w:sz="4" w:space="0"/>
              <w:left w:val="nil"/>
              <w:bottom w:val="single" w:color="auto" w:sz="4" w:space="0"/>
              <w:right w:val="single" w:color="auto" w:sz="4" w:space="0"/>
            </w:tcBorders>
            <w:vAlign w:val="center"/>
          </w:tcPr>
          <w:p w14:paraId="10CA4BE1">
            <w:pPr>
              <w:widowControl/>
              <w:jc w:val="center"/>
              <w:rPr>
                <w:kern w:val="0"/>
                <w:sz w:val="24"/>
              </w:rPr>
            </w:pPr>
            <w:r>
              <w:rPr>
                <w:rFonts w:hint="eastAsia"/>
                <w:kern w:val="0"/>
                <w:sz w:val="24"/>
              </w:rPr>
              <w:t>发送间隔</w:t>
            </w:r>
          </w:p>
        </w:tc>
        <w:tc>
          <w:tcPr>
            <w:tcW w:w="1905" w:type="dxa"/>
            <w:tcBorders>
              <w:top w:val="single" w:color="auto" w:sz="4" w:space="0"/>
              <w:left w:val="nil"/>
              <w:bottom w:val="single" w:color="auto" w:sz="4" w:space="0"/>
              <w:right w:val="single" w:color="auto" w:sz="4" w:space="0"/>
            </w:tcBorders>
            <w:vAlign w:val="center"/>
          </w:tcPr>
          <w:p w14:paraId="3BCDAAD0">
            <w:pPr>
              <w:widowControl/>
              <w:jc w:val="center"/>
              <w:rPr>
                <w:kern w:val="0"/>
                <w:sz w:val="24"/>
              </w:rPr>
            </w:pPr>
            <w:r>
              <w:rPr>
                <w:rFonts w:hint="eastAsia"/>
                <w:kern w:val="0"/>
                <w:sz w:val="24"/>
              </w:rPr>
              <w:t>启停方式</w:t>
            </w:r>
          </w:p>
        </w:tc>
      </w:tr>
      <w:tr w14:paraId="7C59440A">
        <w:tblPrEx>
          <w:tblCellMar>
            <w:top w:w="0" w:type="dxa"/>
            <w:left w:w="108" w:type="dxa"/>
            <w:bottom w:w="0" w:type="dxa"/>
            <w:right w:w="108" w:type="dxa"/>
          </w:tblCellMar>
        </w:tblPrEx>
        <w:trPr>
          <w:trHeight w:val="708" w:hRule="atLeast"/>
          <w:jc w:val="center"/>
        </w:trPr>
        <w:tc>
          <w:tcPr>
            <w:tcW w:w="1630" w:type="dxa"/>
            <w:tcBorders>
              <w:top w:val="single" w:color="auto" w:sz="4" w:space="0"/>
              <w:left w:val="single" w:color="auto" w:sz="4" w:space="0"/>
              <w:bottom w:val="single" w:color="auto" w:sz="4" w:space="0"/>
              <w:right w:val="single" w:color="auto" w:sz="4" w:space="0"/>
            </w:tcBorders>
            <w:vAlign w:val="center"/>
          </w:tcPr>
          <w:p w14:paraId="25361C2F">
            <w:pPr>
              <w:widowControl/>
              <w:jc w:val="center"/>
              <w:rPr>
                <w:kern w:val="0"/>
                <w:sz w:val="24"/>
              </w:rPr>
            </w:pPr>
            <w:r>
              <w:rPr>
                <w:rFonts w:hint="eastAsia"/>
                <w:kern w:val="0"/>
                <w:sz w:val="24"/>
              </w:rPr>
              <w:t>检查结果</w:t>
            </w:r>
          </w:p>
        </w:tc>
        <w:tc>
          <w:tcPr>
            <w:tcW w:w="1922" w:type="dxa"/>
            <w:tcBorders>
              <w:top w:val="single" w:color="auto" w:sz="4" w:space="0"/>
              <w:left w:val="single" w:color="auto" w:sz="4" w:space="0"/>
              <w:bottom w:val="single" w:color="auto" w:sz="4" w:space="0"/>
              <w:right w:val="single" w:color="auto" w:sz="4" w:space="0"/>
            </w:tcBorders>
            <w:vAlign w:val="center"/>
          </w:tcPr>
          <w:p w14:paraId="27E4084C">
            <w:pPr>
              <w:widowControl/>
              <w:jc w:val="center"/>
              <w:rPr>
                <w:kern w:val="0"/>
                <w:sz w:val="24"/>
              </w:rPr>
            </w:pPr>
          </w:p>
        </w:tc>
        <w:tc>
          <w:tcPr>
            <w:tcW w:w="1985" w:type="dxa"/>
            <w:tcBorders>
              <w:top w:val="single" w:color="auto" w:sz="4" w:space="0"/>
              <w:left w:val="nil"/>
              <w:bottom w:val="single" w:color="auto" w:sz="4" w:space="0"/>
              <w:right w:val="single" w:color="auto" w:sz="4" w:space="0"/>
            </w:tcBorders>
            <w:vAlign w:val="center"/>
          </w:tcPr>
          <w:p w14:paraId="721F218D">
            <w:pPr>
              <w:widowControl/>
              <w:jc w:val="center"/>
              <w:rPr>
                <w:kern w:val="0"/>
                <w:sz w:val="24"/>
              </w:rPr>
            </w:pPr>
          </w:p>
        </w:tc>
        <w:tc>
          <w:tcPr>
            <w:tcW w:w="1701" w:type="dxa"/>
            <w:tcBorders>
              <w:top w:val="single" w:color="auto" w:sz="4" w:space="0"/>
              <w:left w:val="nil"/>
              <w:bottom w:val="single" w:color="auto" w:sz="4" w:space="0"/>
              <w:right w:val="single" w:color="auto" w:sz="4" w:space="0"/>
            </w:tcBorders>
            <w:vAlign w:val="center"/>
          </w:tcPr>
          <w:p w14:paraId="2F57052D">
            <w:pPr>
              <w:widowControl/>
              <w:jc w:val="center"/>
              <w:rPr>
                <w:kern w:val="0"/>
                <w:sz w:val="24"/>
              </w:rPr>
            </w:pPr>
          </w:p>
        </w:tc>
        <w:tc>
          <w:tcPr>
            <w:tcW w:w="1905" w:type="dxa"/>
            <w:tcBorders>
              <w:top w:val="single" w:color="auto" w:sz="4" w:space="0"/>
              <w:left w:val="nil"/>
              <w:bottom w:val="single" w:color="auto" w:sz="4" w:space="0"/>
              <w:right w:val="single" w:color="auto" w:sz="4" w:space="0"/>
            </w:tcBorders>
            <w:vAlign w:val="center"/>
          </w:tcPr>
          <w:p w14:paraId="386E5901">
            <w:pPr>
              <w:widowControl/>
              <w:jc w:val="center"/>
              <w:rPr>
                <w:kern w:val="0"/>
                <w:sz w:val="24"/>
              </w:rPr>
            </w:pPr>
          </w:p>
        </w:tc>
      </w:tr>
    </w:tbl>
    <w:p w14:paraId="0098A49D">
      <w:pPr>
        <w:spacing w:after="156" w:afterLines="50"/>
        <w:rPr>
          <w:kern w:val="0"/>
          <w:sz w:val="24"/>
          <w:szCs w:val="20"/>
        </w:rPr>
      </w:pPr>
      <w:r>
        <w:rPr>
          <w:rFonts w:hint="eastAsia"/>
          <w:kern w:val="0"/>
          <w:sz w:val="24"/>
          <w:szCs w:val="20"/>
        </w:rPr>
        <w:t>2.测量误差</w:t>
      </w:r>
    </w:p>
    <w:bookmarkEnd w:id="25"/>
    <w:p w14:paraId="7AEFCD4F">
      <w:pPr>
        <w:spacing w:line="270" w:lineRule="exact"/>
        <w:jc w:val="right"/>
        <w:rPr>
          <w:rFonts w:eastAsia="黑体"/>
          <w:bCs/>
          <w:sz w:val="48"/>
          <w:szCs w:val="48"/>
        </w:rPr>
      </w:pPr>
      <w:bookmarkStart w:id="27" w:name="_Toc438025711"/>
      <w:r>
        <w:rPr>
          <w:kern w:val="0"/>
          <w:sz w:val="24"/>
          <w:szCs w:val="20"/>
        </w:rPr>
        <w:t>单位：℃</w:t>
      </w:r>
    </w:p>
    <w:tbl>
      <w:tblPr>
        <w:tblStyle w:val="35"/>
        <w:tblW w:w="9049" w:type="dxa"/>
        <w:jc w:val="center"/>
        <w:tblLayout w:type="fixed"/>
        <w:tblCellMar>
          <w:top w:w="0" w:type="dxa"/>
          <w:left w:w="108" w:type="dxa"/>
          <w:bottom w:w="0" w:type="dxa"/>
          <w:right w:w="108" w:type="dxa"/>
        </w:tblCellMar>
      </w:tblPr>
      <w:tblGrid>
        <w:gridCol w:w="1888"/>
        <w:gridCol w:w="1193"/>
        <w:gridCol w:w="1194"/>
        <w:gridCol w:w="506"/>
        <w:gridCol w:w="687"/>
        <w:gridCol w:w="1014"/>
        <w:gridCol w:w="180"/>
        <w:gridCol w:w="1193"/>
        <w:gridCol w:w="1194"/>
      </w:tblGrid>
      <w:tr w14:paraId="5E946901">
        <w:tblPrEx>
          <w:tblCellMar>
            <w:top w:w="0" w:type="dxa"/>
            <w:left w:w="108" w:type="dxa"/>
            <w:bottom w:w="0" w:type="dxa"/>
            <w:right w:w="108" w:type="dxa"/>
          </w:tblCellMar>
        </w:tblPrEx>
        <w:trPr>
          <w:trHeight w:val="270" w:hRule="atLeast"/>
          <w:jc w:val="center"/>
        </w:trPr>
        <w:tc>
          <w:tcPr>
            <w:tcW w:w="1888" w:type="dxa"/>
            <w:tcBorders>
              <w:top w:val="single" w:color="auto" w:sz="4" w:space="0"/>
              <w:left w:val="single" w:color="auto" w:sz="4" w:space="0"/>
              <w:bottom w:val="single" w:color="auto" w:sz="4" w:space="0"/>
              <w:right w:val="single" w:color="auto" w:sz="4" w:space="0"/>
            </w:tcBorders>
            <w:noWrap/>
            <w:vAlign w:val="center"/>
          </w:tcPr>
          <w:p w14:paraId="5CA44B55">
            <w:pPr>
              <w:widowControl/>
              <w:spacing w:line="276" w:lineRule="auto"/>
              <w:jc w:val="center"/>
              <w:rPr>
                <w:kern w:val="0"/>
                <w:szCs w:val="21"/>
              </w:rPr>
            </w:pPr>
            <w:r>
              <w:rPr>
                <w:kern w:val="0"/>
                <w:szCs w:val="21"/>
              </w:rPr>
              <w:t>工况温度</w:t>
            </w:r>
          </w:p>
        </w:tc>
        <w:tc>
          <w:tcPr>
            <w:tcW w:w="2893" w:type="dxa"/>
            <w:gridSpan w:val="3"/>
            <w:tcBorders>
              <w:top w:val="single" w:color="auto" w:sz="4" w:space="0"/>
              <w:left w:val="nil"/>
              <w:bottom w:val="single" w:color="auto" w:sz="4" w:space="0"/>
              <w:right w:val="single" w:color="000000" w:sz="4" w:space="0"/>
            </w:tcBorders>
            <w:noWrap/>
            <w:vAlign w:val="center"/>
          </w:tcPr>
          <w:p w14:paraId="25EAD605">
            <w:pPr>
              <w:widowControl/>
              <w:spacing w:line="276" w:lineRule="auto"/>
              <w:jc w:val="center"/>
              <w:rPr>
                <w:kern w:val="0"/>
                <w:szCs w:val="21"/>
              </w:rPr>
            </w:pPr>
            <w:r>
              <w:rPr>
                <w:kern w:val="0"/>
                <w:szCs w:val="21"/>
              </w:rPr>
              <w:t>　</w:t>
            </w:r>
          </w:p>
        </w:tc>
        <w:tc>
          <w:tcPr>
            <w:tcW w:w="1701" w:type="dxa"/>
            <w:gridSpan w:val="2"/>
            <w:tcBorders>
              <w:top w:val="single" w:color="auto" w:sz="4" w:space="0"/>
              <w:left w:val="nil"/>
              <w:bottom w:val="single" w:color="auto" w:sz="4" w:space="0"/>
              <w:right w:val="single" w:color="auto" w:sz="4" w:space="0"/>
            </w:tcBorders>
            <w:noWrap/>
            <w:vAlign w:val="center"/>
          </w:tcPr>
          <w:p w14:paraId="3D214500">
            <w:pPr>
              <w:widowControl/>
              <w:spacing w:line="276" w:lineRule="auto"/>
              <w:jc w:val="center"/>
              <w:rPr>
                <w:kern w:val="0"/>
                <w:szCs w:val="21"/>
              </w:rPr>
            </w:pPr>
            <w:r>
              <w:rPr>
                <w:kern w:val="0"/>
                <w:szCs w:val="21"/>
              </w:rPr>
              <w:t>校准点</w:t>
            </w:r>
          </w:p>
        </w:tc>
        <w:tc>
          <w:tcPr>
            <w:tcW w:w="2567" w:type="dxa"/>
            <w:gridSpan w:val="3"/>
            <w:tcBorders>
              <w:top w:val="single" w:color="auto" w:sz="4" w:space="0"/>
              <w:left w:val="nil"/>
              <w:bottom w:val="single" w:color="auto" w:sz="4" w:space="0"/>
              <w:right w:val="single" w:color="000000" w:sz="4" w:space="0"/>
            </w:tcBorders>
            <w:noWrap/>
            <w:vAlign w:val="center"/>
          </w:tcPr>
          <w:p w14:paraId="4060D9E8">
            <w:pPr>
              <w:widowControl/>
              <w:spacing w:line="276" w:lineRule="auto"/>
              <w:jc w:val="center"/>
              <w:rPr>
                <w:kern w:val="0"/>
                <w:szCs w:val="21"/>
              </w:rPr>
            </w:pPr>
            <w:r>
              <w:rPr>
                <w:kern w:val="0"/>
                <w:szCs w:val="21"/>
              </w:rPr>
              <w:t>　</w:t>
            </w:r>
          </w:p>
        </w:tc>
      </w:tr>
      <w:tr w14:paraId="176613EB">
        <w:tblPrEx>
          <w:tblCellMar>
            <w:top w:w="0" w:type="dxa"/>
            <w:left w:w="108" w:type="dxa"/>
            <w:bottom w:w="0" w:type="dxa"/>
            <w:right w:w="108" w:type="dxa"/>
          </w:tblCellMar>
        </w:tblPrEx>
        <w:trPr>
          <w:trHeight w:val="404" w:hRule="atLeast"/>
          <w:jc w:val="center"/>
        </w:trPr>
        <w:tc>
          <w:tcPr>
            <w:tcW w:w="1888" w:type="dxa"/>
            <w:tcBorders>
              <w:top w:val="nil"/>
              <w:left w:val="single" w:color="auto" w:sz="4" w:space="0"/>
              <w:bottom w:val="single" w:color="auto" w:sz="4" w:space="0"/>
              <w:right w:val="single" w:color="auto" w:sz="4" w:space="0"/>
            </w:tcBorders>
            <w:noWrap/>
            <w:vAlign w:val="center"/>
          </w:tcPr>
          <w:p w14:paraId="7E8D2F64">
            <w:pPr>
              <w:widowControl/>
              <w:spacing w:line="276" w:lineRule="auto"/>
              <w:jc w:val="center"/>
              <w:rPr>
                <w:kern w:val="0"/>
                <w:szCs w:val="21"/>
              </w:rPr>
            </w:pPr>
            <w:r>
              <w:rPr>
                <w:kern w:val="0"/>
                <w:szCs w:val="21"/>
              </w:rPr>
              <w:t>通道号</w:t>
            </w:r>
          </w:p>
        </w:tc>
        <w:tc>
          <w:tcPr>
            <w:tcW w:w="1193" w:type="dxa"/>
            <w:tcBorders>
              <w:top w:val="nil"/>
              <w:left w:val="nil"/>
              <w:bottom w:val="single" w:color="auto" w:sz="4" w:space="0"/>
              <w:right w:val="single" w:color="auto" w:sz="4" w:space="0"/>
            </w:tcBorders>
            <w:noWrap/>
            <w:vAlign w:val="center"/>
          </w:tcPr>
          <w:p w14:paraId="095FFBFA">
            <w:pPr>
              <w:widowControl/>
              <w:spacing w:line="276" w:lineRule="auto"/>
              <w:jc w:val="center"/>
              <w:rPr>
                <w:kern w:val="0"/>
                <w:szCs w:val="21"/>
              </w:rPr>
            </w:pPr>
            <w:r>
              <w:rPr>
                <w:kern w:val="0"/>
                <w:szCs w:val="21"/>
              </w:rPr>
              <w:t>CH1</w:t>
            </w:r>
          </w:p>
        </w:tc>
        <w:tc>
          <w:tcPr>
            <w:tcW w:w="1194" w:type="dxa"/>
            <w:tcBorders>
              <w:top w:val="nil"/>
              <w:left w:val="nil"/>
              <w:bottom w:val="single" w:color="auto" w:sz="4" w:space="0"/>
              <w:right w:val="single" w:color="auto" w:sz="4" w:space="0"/>
            </w:tcBorders>
            <w:noWrap/>
            <w:vAlign w:val="center"/>
          </w:tcPr>
          <w:p w14:paraId="425267FB">
            <w:pPr>
              <w:widowControl/>
              <w:spacing w:line="276" w:lineRule="auto"/>
              <w:jc w:val="center"/>
              <w:rPr>
                <w:kern w:val="0"/>
                <w:szCs w:val="21"/>
              </w:rPr>
            </w:pPr>
            <w:r>
              <w:rPr>
                <w:kern w:val="0"/>
                <w:szCs w:val="21"/>
              </w:rPr>
              <w:t>CH2</w:t>
            </w:r>
          </w:p>
        </w:tc>
        <w:tc>
          <w:tcPr>
            <w:tcW w:w="1193" w:type="dxa"/>
            <w:gridSpan w:val="2"/>
            <w:tcBorders>
              <w:top w:val="nil"/>
              <w:left w:val="nil"/>
              <w:bottom w:val="single" w:color="auto" w:sz="4" w:space="0"/>
              <w:right w:val="single" w:color="auto" w:sz="4" w:space="0"/>
            </w:tcBorders>
            <w:noWrap/>
            <w:vAlign w:val="center"/>
          </w:tcPr>
          <w:p w14:paraId="6E6BF0EE">
            <w:pPr>
              <w:widowControl/>
              <w:spacing w:line="276" w:lineRule="auto"/>
              <w:jc w:val="center"/>
              <w:rPr>
                <w:kern w:val="0"/>
                <w:szCs w:val="21"/>
              </w:rPr>
            </w:pPr>
            <w:r>
              <w:rPr>
                <w:kern w:val="0"/>
                <w:szCs w:val="21"/>
              </w:rPr>
              <w:t>CH3</w:t>
            </w:r>
          </w:p>
        </w:tc>
        <w:tc>
          <w:tcPr>
            <w:tcW w:w="1194" w:type="dxa"/>
            <w:gridSpan w:val="2"/>
            <w:tcBorders>
              <w:top w:val="nil"/>
              <w:left w:val="nil"/>
              <w:bottom w:val="single" w:color="auto" w:sz="4" w:space="0"/>
              <w:right w:val="single" w:color="auto" w:sz="4" w:space="0"/>
            </w:tcBorders>
            <w:noWrap/>
            <w:vAlign w:val="center"/>
          </w:tcPr>
          <w:p w14:paraId="3E06D81E">
            <w:pPr>
              <w:widowControl/>
              <w:spacing w:line="276" w:lineRule="auto"/>
              <w:jc w:val="center"/>
              <w:rPr>
                <w:kern w:val="0"/>
                <w:szCs w:val="21"/>
              </w:rPr>
            </w:pPr>
            <w:r>
              <w:rPr>
                <w:kern w:val="0"/>
                <w:szCs w:val="21"/>
              </w:rPr>
              <w:t>CH4</w:t>
            </w:r>
          </w:p>
        </w:tc>
        <w:tc>
          <w:tcPr>
            <w:tcW w:w="1193" w:type="dxa"/>
            <w:tcBorders>
              <w:top w:val="nil"/>
              <w:left w:val="nil"/>
              <w:bottom w:val="single" w:color="auto" w:sz="4" w:space="0"/>
              <w:right w:val="single" w:color="auto" w:sz="4" w:space="0"/>
            </w:tcBorders>
            <w:noWrap/>
            <w:vAlign w:val="center"/>
          </w:tcPr>
          <w:p w14:paraId="279DC1E7">
            <w:pPr>
              <w:widowControl/>
              <w:spacing w:line="276" w:lineRule="auto"/>
              <w:jc w:val="center"/>
              <w:rPr>
                <w:kern w:val="0"/>
                <w:szCs w:val="21"/>
              </w:rPr>
            </w:pPr>
            <w:r>
              <w:rPr>
                <w:kern w:val="0"/>
                <w:szCs w:val="21"/>
              </w:rPr>
              <w:t>……</w:t>
            </w:r>
          </w:p>
        </w:tc>
        <w:tc>
          <w:tcPr>
            <w:tcW w:w="1194" w:type="dxa"/>
            <w:tcBorders>
              <w:top w:val="nil"/>
              <w:left w:val="nil"/>
              <w:bottom w:val="single" w:color="auto" w:sz="4" w:space="0"/>
              <w:right w:val="single" w:color="auto" w:sz="4" w:space="0"/>
            </w:tcBorders>
            <w:noWrap/>
            <w:vAlign w:val="center"/>
          </w:tcPr>
          <w:p w14:paraId="6A248DF0">
            <w:pPr>
              <w:widowControl/>
              <w:spacing w:line="276" w:lineRule="auto"/>
              <w:jc w:val="center"/>
              <w:rPr>
                <w:kern w:val="0"/>
                <w:szCs w:val="21"/>
              </w:rPr>
            </w:pPr>
            <w:r>
              <w:rPr>
                <w:kern w:val="0"/>
                <w:szCs w:val="21"/>
              </w:rPr>
              <w:t>CH</w:t>
            </w:r>
            <w:r>
              <w:rPr>
                <w:i/>
                <w:kern w:val="0"/>
                <w:szCs w:val="21"/>
              </w:rPr>
              <w:t>N</w:t>
            </w:r>
          </w:p>
        </w:tc>
      </w:tr>
      <w:tr w14:paraId="23027824">
        <w:tblPrEx>
          <w:tblCellMar>
            <w:top w:w="0" w:type="dxa"/>
            <w:left w:w="108" w:type="dxa"/>
            <w:bottom w:w="0" w:type="dxa"/>
            <w:right w:w="108" w:type="dxa"/>
          </w:tblCellMar>
        </w:tblPrEx>
        <w:trPr>
          <w:trHeight w:val="404" w:hRule="atLeast"/>
          <w:jc w:val="center"/>
        </w:trPr>
        <w:tc>
          <w:tcPr>
            <w:tcW w:w="1888" w:type="dxa"/>
            <w:tcBorders>
              <w:top w:val="nil"/>
              <w:left w:val="single" w:color="auto" w:sz="4" w:space="0"/>
              <w:bottom w:val="single" w:color="auto" w:sz="4" w:space="0"/>
              <w:right w:val="single" w:color="auto" w:sz="4" w:space="0"/>
            </w:tcBorders>
            <w:noWrap/>
            <w:vAlign w:val="center"/>
          </w:tcPr>
          <w:p w14:paraId="4216EF25">
            <w:pPr>
              <w:widowControl/>
              <w:spacing w:line="276" w:lineRule="auto"/>
              <w:jc w:val="center"/>
              <w:rPr>
                <w:kern w:val="0"/>
                <w:szCs w:val="21"/>
              </w:rPr>
            </w:pPr>
            <w:r>
              <w:rPr>
                <w:kern w:val="0"/>
                <w:szCs w:val="21"/>
              </w:rPr>
              <w:t>示值误差</w:t>
            </w:r>
          </w:p>
        </w:tc>
        <w:tc>
          <w:tcPr>
            <w:tcW w:w="1193" w:type="dxa"/>
            <w:tcBorders>
              <w:top w:val="nil"/>
              <w:left w:val="nil"/>
              <w:bottom w:val="single" w:color="auto" w:sz="4" w:space="0"/>
              <w:right w:val="single" w:color="auto" w:sz="4" w:space="0"/>
            </w:tcBorders>
            <w:noWrap/>
            <w:vAlign w:val="center"/>
          </w:tcPr>
          <w:p w14:paraId="04E130F1">
            <w:pPr>
              <w:widowControl/>
              <w:spacing w:line="276" w:lineRule="auto"/>
              <w:jc w:val="center"/>
              <w:rPr>
                <w:kern w:val="0"/>
                <w:szCs w:val="21"/>
              </w:rPr>
            </w:pPr>
            <w:r>
              <w:rPr>
                <w:kern w:val="0"/>
                <w:szCs w:val="21"/>
              </w:rPr>
              <w:t>　</w:t>
            </w:r>
          </w:p>
        </w:tc>
        <w:tc>
          <w:tcPr>
            <w:tcW w:w="1194" w:type="dxa"/>
            <w:tcBorders>
              <w:top w:val="nil"/>
              <w:left w:val="nil"/>
              <w:bottom w:val="single" w:color="auto" w:sz="4" w:space="0"/>
              <w:right w:val="single" w:color="auto" w:sz="4" w:space="0"/>
            </w:tcBorders>
            <w:noWrap/>
            <w:vAlign w:val="center"/>
          </w:tcPr>
          <w:p w14:paraId="4E1F4080">
            <w:pPr>
              <w:widowControl/>
              <w:spacing w:line="276" w:lineRule="auto"/>
              <w:jc w:val="center"/>
              <w:rPr>
                <w:kern w:val="0"/>
                <w:szCs w:val="21"/>
              </w:rPr>
            </w:pPr>
            <w:r>
              <w:rPr>
                <w:kern w:val="0"/>
                <w:szCs w:val="21"/>
              </w:rPr>
              <w:t>　</w:t>
            </w:r>
          </w:p>
        </w:tc>
        <w:tc>
          <w:tcPr>
            <w:tcW w:w="1193" w:type="dxa"/>
            <w:gridSpan w:val="2"/>
            <w:tcBorders>
              <w:top w:val="nil"/>
              <w:left w:val="nil"/>
              <w:bottom w:val="single" w:color="auto" w:sz="4" w:space="0"/>
              <w:right w:val="single" w:color="auto" w:sz="4" w:space="0"/>
            </w:tcBorders>
            <w:noWrap/>
            <w:vAlign w:val="center"/>
          </w:tcPr>
          <w:p w14:paraId="1FFA5C1F">
            <w:pPr>
              <w:widowControl/>
              <w:spacing w:line="276" w:lineRule="auto"/>
              <w:jc w:val="center"/>
              <w:rPr>
                <w:kern w:val="0"/>
                <w:szCs w:val="21"/>
              </w:rPr>
            </w:pPr>
            <w:r>
              <w:rPr>
                <w:kern w:val="0"/>
                <w:szCs w:val="21"/>
              </w:rPr>
              <w:t>　</w:t>
            </w:r>
          </w:p>
        </w:tc>
        <w:tc>
          <w:tcPr>
            <w:tcW w:w="1194" w:type="dxa"/>
            <w:gridSpan w:val="2"/>
            <w:tcBorders>
              <w:top w:val="nil"/>
              <w:left w:val="nil"/>
              <w:bottom w:val="single" w:color="auto" w:sz="4" w:space="0"/>
              <w:right w:val="single" w:color="auto" w:sz="4" w:space="0"/>
            </w:tcBorders>
            <w:noWrap/>
            <w:vAlign w:val="center"/>
          </w:tcPr>
          <w:p w14:paraId="62ACE122">
            <w:pPr>
              <w:widowControl/>
              <w:spacing w:line="276" w:lineRule="auto"/>
              <w:jc w:val="center"/>
              <w:rPr>
                <w:kern w:val="0"/>
                <w:szCs w:val="21"/>
              </w:rPr>
            </w:pPr>
            <w:r>
              <w:rPr>
                <w:kern w:val="0"/>
                <w:szCs w:val="21"/>
              </w:rPr>
              <w:t>　</w:t>
            </w:r>
          </w:p>
        </w:tc>
        <w:tc>
          <w:tcPr>
            <w:tcW w:w="1193" w:type="dxa"/>
            <w:tcBorders>
              <w:top w:val="nil"/>
              <w:left w:val="nil"/>
              <w:bottom w:val="single" w:color="auto" w:sz="4" w:space="0"/>
              <w:right w:val="single" w:color="auto" w:sz="4" w:space="0"/>
            </w:tcBorders>
            <w:noWrap/>
            <w:vAlign w:val="center"/>
          </w:tcPr>
          <w:p w14:paraId="1D45C752">
            <w:pPr>
              <w:widowControl/>
              <w:spacing w:line="276" w:lineRule="auto"/>
              <w:jc w:val="center"/>
              <w:rPr>
                <w:kern w:val="0"/>
                <w:szCs w:val="21"/>
              </w:rPr>
            </w:pPr>
          </w:p>
        </w:tc>
        <w:tc>
          <w:tcPr>
            <w:tcW w:w="1194" w:type="dxa"/>
            <w:tcBorders>
              <w:top w:val="nil"/>
              <w:left w:val="nil"/>
              <w:bottom w:val="single" w:color="auto" w:sz="4" w:space="0"/>
              <w:right w:val="single" w:color="auto" w:sz="4" w:space="0"/>
            </w:tcBorders>
            <w:noWrap/>
            <w:vAlign w:val="center"/>
          </w:tcPr>
          <w:p w14:paraId="18FC52D5">
            <w:pPr>
              <w:widowControl/>
              <w:spacing w:line="276" w:lineRule="auto"/>
              <w:jc w:val="center"/>
              <w:rPr>
                <w:kern w:val="0"/>
                <w:szCs w:val="21"/>
              </w:rPr>
            </w:pPr>
            <w:r>
              <w:rPr>
                <w:kern w:val="0"/>
                <w:szCs w:val="21"/>
              </w:rPr>
              <w:t>　</w:t>
            </w:r>
          </w:p>
        </w:tc>
      </w:tr>
      <w:tr w14:paraId="3875493E">
        <w:tblPrEx>
          <w:tblCellMar>
            <w:top w:w="0" w:type="dxa"/>
            <w:left w:w="108" w:type="dxa"/>
            <w:bottom w:w="0" w:type="dxa"/>
            <w:right w:w="108" w:type="dxa"/>
          </w:tblCellMar>
        </w:tblPrEx>
        <w:trPr>
          <w:trHeight w:val="404" w:hRule="atLeast"/>
          <w:jc w:val="center"/>
        </w:trPr>
        <w:tc>
          <w:tcPr>
            <w:tcW w:w="1888" w:type="dxa"/>
            <w:tcBorders>
              <w:top w:val="single" w:color="auto" w:sz="4" w:space="0"/>
              <w:left w:val="single" w:color="auto" w:sz="4" w:space="0"/>
              <w:bottom w:val="single" w:color="auto" w:sz="4" w:space="0"/>
              <w:right w:val="single" w:color="auto" w:sz="4" w:space="0"/>
            </w:tcBorders>
            <w:noWrap/>
            <w:vAlign w:val="center"/>
          </w:tcPr>
          <w:p w14:paraId="30C7D0D9">
            <w:pPr>
              <w:widowControl/>
              <w:spacing w:line="276" w:lineRule="auto"/>
              <w:jc w:val="center"/>
              <w:rPr>
                <w:kern w:val="0"/>
                <w:szCs w:val="21"/>
              </w:rPr>
            </w:pPr>
            <w:r>
              <w:rPr>
                <w:kern w:val="0"/>
                <w:szCs w:val="21"/>
              </w:rPr>
              <w:t>示值一致性</w:t>
            </w:r>
          </w:p>
        </w:tc>
        <w:tc>
          <w:tcPr>
            <w:tcW w:w="7161" w:type="dxa"/>
            <w:gridSpan w:val="8"/>
            <w:tcBorders>
              <w:top w:val="single" w:color="auto" w:sz="4" w:space="0"/>
              <w:left w:val="nil"/>
              <w:bottom w:val="single" w:color="auto" w:sz="4" w:space="0"/>
              <w:right w:val="single" w:color="auto" w:sz="4" w:space="0"/>
            </w:tcBorders>
            <w:noWrap/>
            <w:vAlign w:val="center"/>
          </w:tcPr>
          <w:p w14:paraId="7CA3F184">
            <w:pPr>
              <w:widowControl/>
              <w:spacing w:line="276" w:lineRule="auto"/>
              <w:jc w:val="center"/>
              <w:rPr>
                <w:kern w:val="0"/>
                <w:szCs w:val="21"/>
              </w:rPr>
            </w:pPr>
            <w:r>
              <w:rPr>
                <w:kern w:val="0"/>
                <w:szCs w:val="21"/>
              </w:rPr>
              <w:t>　</w:t>
            </w:r>
          </w:p>
        </w:tc>
      </w:tr>
      <w:tr w14:paraId="40E458BA">
        <w:tblPrEx>
          <w:tblCellMar>
            <w:top w:w="0" w:type="dxa"/>
            <w:left w:w="108" w:type="dxa"/>
            <w:bottom w:w="0" w:type="dxa"/>
            <w:right w:w="108" w:type="dxa"/>
          </w:tblCellMar>
        </w:tblPrEx>
        <w:trPr>
          <w:trHeight w:val="404" w:hRule="atLeast"/>
          <w:jc w:val="center"/>
        </w:trPr>
        <w:tc>
          <w:tcPr>
            <w:tcW w:w="1888" w:type="dxa"/>
            <w:tcBorders>
              <w:top w:val="single" w:color="auto" w:sz="4" w:space="0"/>
              <w:left w:val="single" w:color="auto" w:sz="4" w:space="0"/>
              <w:bottom w:val="single" w:color="auto" w:sz="4" w:space="0"/>
              <w:right w:val="single" w:color="auto" w:sz="4" w:space="0"/>
            </w:tcBorders>
            <w:noWrap/>
            <w:vAlign w:val="center"/>
          </w:tcPr>
          <w:p w14:paraId="0687A5C5">
            <w:pPr>
              <w:widowControl/>
              <w:spacing w:line="276" w:lineRule="auto"/>
              <w:jc w:val="center"/>
              <w:rPr>
                <w:kern w:val="0"/>
                <w:szCs w:val="21"/>
              </w:rPr>
            </w:pPr>
            <w:r>
              <w:rPr>
                <w:kern w:val="0"/>
                <w:szCs w:val="21"/>
              </w:rPr>
              <w:t>不确定度（</w:t>
            </w:r>
            <w:r>
              <w:rPr>
                <w:i/>
                <w:kern w:val="0"/>
                <w:szCs w:val="21"/>
              </w:rPr>
              <w:t>k</w:t>
            </w:r>
            <w:r>
              <w:rPr>
                <w:kern w:val="0"/>
                <w:szCs w:val="21"/>
              </w:rPr>
              <w:t>=2）</w:t>
            </w:r>
          </w:p>
        </w:tc>
        <w:tc>
          <w:tcPr>
            <w:tcW w:w="1193" w:type="dxa"/>
            <w:tcBorders>
              <w:top w:val="single" w:color="auto" w:sz="4" w:space="0"/>
              <w:left w:val="nil"/>
              <w:bottom w:val="single" w:color="auto" w:sz="4" w:space="0"/>
              <w:right w:val="single" w:color="auto" w:sz="4" w:space="0"/>
            </w:tcBorders>
            <w:noWrap/>
            <w:vAlign w:val="center"/>
          </w:tcPr>
          <w:p w14:paraId="1CEF2CAB">
            <w:pPr>
              <w:widowControl/>
              <w:spacing w:line="276" w:lineRule="auto"/>
              <w:jc w:val="center"/>
              <w:rPr>
                <w:kern w:val="0"/>
                <w:szCs w:val="21"/>
              </w:rPr>
            </w:pPr>
          </w:p>
        </w:tc>
        <w:tc>
          <w:tcPr>
            <w:tcW w:w="1194" w:type="dxa"/>
            <w:tcBorders>
              <w:top w:val="single" w:color="auto" w:sz="4" w:space="0"/>
              <w:left w:val="nil"/>
              <w:bottom w:val="single" w:color="auto" w:sz="4" w:space="0"/>
              <w:right w:val="single" w:color="auto" w:sz="4" w:space="0"/>
            </w:tcBorders>
            <w:vAlign w:val="center"/>
          </w:tcPr>
          <w:p w14:paraId="1E915525">
            <w:pPr>
              <w:widowControl/>
              <w:spacing w:line="276" w:lineRule="auto"/>
              <w:jc w:val="center"/>
              <w:rPr>
                <w:kern w:val="0"/>
                <w:szCs w:val="21"/>
              </w:rPr>
            </w:pPr>
          </w:p>
        </w:tc>
        <w:tc>
          <w:tcPr>
            <w:tcW w:w="1193" w:type="dxa"/>
            <w:gridSpan w:val="2"/>
            <w:tcBorders>
              <w:top w:val="single" w:color="auto" w:sz="4" w:space="0"/>
              <w:left w:val="nil"/>
              <w:bottom w:val="single" w:color="auto" w:sz="4" w:space="0"/>
              <w:right w:val="single" w:color="auto" w:sz="4" w:space="0"/>
            </w:tcBorders>
            <w:vAlign w:val="center"/>
          </w:tcPr>
          <w:p w14:paraId="487C28AF">
            <w:pPr>
              <w:widowControl/>
              <w:spacing w:line="276" w:lineRule="auto"/>
              <w:jc w:val="center"/>
              <w:rPr>
                <w:kern w:val="0"/>
                <w:szCs w:val="21"/>
              </w:rPr>
            </w:pPr>
          </w:p>
        </w:tc>
        <w:tc>
          <w:tcPr>
            <w:tcW w:w="1194" w:type="dxa"/>
            <w:gridSpan w:val="2"/>
            <w:tcBorders>
              <w:top w:val="single" w:color="auto" w:sz="4" w:space="0"/>
              <w:left w:val="nil"/>
              <w:bottom w:val="single" w:color="auto" w:sz="4" w:space="0"/>
              <w:right w:val="single" w:color="auto" w:sz="4" w:space="0"/>
            </w:tcBorders>
            <w:vAlign w:val="center"/>
          </w:tcPr>
          <w:p w14:paraId="5E319CE9">
            <w:pPr>
              <w:widowControl/>
              <w:spacing w:line="276" w:lineRule="auto"/>
              <w:jc w:val="center"/>
              <w:rPr>
                <w:kern w:val="0"/>
                <w:szCs w:val="21"/>
              </w:rPr>
            </w:pPr>
          </w:p>
        </w:tc>
        <w:tc>
          <w:tcPr>
            <w:tcW w:w="1193" w:type="dxa"/>
            <w:tcBorders>
              <w:top w:val="single" w:color="auto" w:sz="4" w:space="0"/>
              <w:left w:val="nil"/>
              <w:bottom w:val="single" w:color="auto" w:sz="4" w:space="0"/>
              <w:right w:val="single" w:color="auto" w:sz="4" w:space="0"/>
            </w:tcBorders>
            <w:vAlign w:val="center"/>
          </w:tcPr>
          <w:p w14:paraId="305D8098">
            <w:pPr>
              <w:widowControl/>
              <w:spacing w:line="276" w:lineRule="auto"/>
              <w:jc w:val="center"/>
              <w:rPr>
                <w:kern w:val="0"/>
                <w:szCs w:val="21"/>
              </w:rPr>
            </w:pPr>
          </w:p>
        </w:tc>
        <w:tc>
          <w:tcPr>
            <w:tcW w:w="1194" w:type="dxa"/>
            <w:tcBorders>
              <w:top w:val="single" w:color="auto" w:sz="4" w:space="0"/>
              <w:left w:val="nil"/>
              <w:bottom w:val="single" w:color="auto" w:sz="4" w:space="0"/>
              <w:right w:val="single" w:color="auto" w:sz="4" w:space="0"/>
            </w:tcBorders>
            <w:vAlign w:val="center"/>
          </w:tcPr>
          <w:p w14:paraId="0E1B1AEB">
            <w:pPr>
              <w:widowControl/>
              <w:spacing w:line="276" w:lineRule="auto"/>
              <w:jc w:val="center"/>
              <w:rPr>
                <w:kern w:val="0"/>
                <w:szCs w:val="21"/>
              </w:rPr>
            </w:pPr>
          </w:p>
        </w:tc>
      </w:tr>
    </w:tbl>
    <w:p w14:paraId="132CA99F">
      <w:pPr>
        <w:pStyle w:val="2"/>
        <w:rPr>
          <w:rFonts w:eastAsia="黑体"/>
          <w:b w:val="0"/>
          <w:sz w:val="28"/>
          <w:szCs w:val="28"/>
        </w:rPr>
      </w:pPr>
      <w:r>
        <w:rPr>
          <w:rFonts w:eastAsia="黑体"/>
          <w:b w:val="0"/>
          <w:sz w:val="28"/>
          <w:szCs w:val="28"/>
        </w:rPr>
        <w:br w:type="page"/>
      </w:r>
    </w:p>
    <w:bookmarkEnd w:id="27"/>
    <w:p w14:paraId="29F9BF52">
      <w:pPr>
        <w:pStyle w:val="2"/>
        <w:rPr>
          <w:rFonts w:eastAsia="黑体"/>
          <w:bCs w:val="0"/>
          <w:kern w:val="0"/>
          <w:sz w:val="28"/>
          <w:szCs w:val="28"/>
        </w:rPr>
      </w:pPr>
      <w:bookmarkStart w:id="28" w:name="_Toc192517521"/>
      <w:r>
        <w:rPr>
          <w:rFonts w:eastAsia="黑体"/>
          <w:bCs w:val="0"/>
          <w:sz w:val="28"/>
          <w:szCs w:val="28"/>
        </w:rPr>
        <w:t>附录</w:t>
      </w:r>
      <w:r>
        <w:rPr>
          <w:rFonts w:hint="eastAsia" w:eastAsia="黑体"/>
          <w:bCs w:val="0"/>
          <w:sz w:val="28"/>
          <w:szCs w:val="28"/>
        </w:rPr>
        <w:t>C</w:t>
      </w:r>
      <w:r>
        <w:rPr>
          <w:rFonts w:eastAsia="黑体"/>
          <w:sz w:val="28"/>
          <w:szCs w:val="28"/>
        </w:rPr>
        <w:t>炉温跟踪仪温度示值误差测量不确定度评定</w:t>
      </w:r>
      <w:bookmarkEnd w:id="28"/>
    </w:p>
    <w:p w14:paraId="6D2D7A1D">
      <w:pPr>
        <w:widowControl/>
        <w:spacing w:after="120" w:line="312" w:lineRule="auto"/>
        <w:jc w:val="center"/>
        <w:rPr>
          <w:rFonts w:eastAsia="黑体"/>
          <w:kern w:val="0"/>
          <w:sz w:val="28"/>
          <w:szCs w:val="28"/>
        </w:rPr>
      </w:pPr>
      <w:bookmarkStart w:id="29" w:name="_Toc43379920"/>
      <w:bookmarkStart w:id="30" w:name="_Hlk229669504"/>
      <w:r>
        <w:rPr>
          <w:rFonts w:eastAsia="黑体"/>
          <w:sz w:val="28"/>
          <w:szCs w:val="28"/>
        </w:rPr>
        <w:t>炉温跟踪仪温度示值误差测量不确定度评定</w:t>
      </w:r>
      <w:bookmarkEnd w:id="29"/>
    </w:p>
    <w:p w14:paraId="04B295C3">
      <w:pPr>
        <w:spacing w:line="288" w:lineRule="auto"/>
        <w:rPr>
          <w:sz w:val="24"/>
        </w:rPr>
      </w:pPr>
      <w:r>
        <w:rPr>
          <w:sz w:val="24"/>
        </w:rPr>
        <w:t>C.1 测量概述</w:t>
      </w:r>
    </w:p>
    <w:p w14:paraId="52280A9E">
      <w:pPr>
        <w:spacing w:line="288" w:lineRule="auto"/>
        <w:rPr>
          <w:sz w:val="24"/>
        </w:rPr>
      </w:pPr>
      <w:r>
        <w:rPr>
          <w:sz w:val="24"/>
        </w:rPr>
        <w:t>C.1.1被校对象</w:t>
      </w:r>
    </w:p>
    <w:p w14:paraId="652C32C0">
      <w:pPr>
        <w:spacing w:line="360" w:lineRule="auto"/>
        <w:ind w:firstLine="480" w:firstLineChars="200"/>
        <w:rPr>
          <w:sz w:val="24"/>
        </w:rPr>
      </w:pPr>
      <w:r>
        <w:rPr>
          <w:sz w:val="24"/>
        </w:rPr>
        <w:t>炉温跟踪仪（温度传感器为K型热电偶），显示分辨力为0.1℃。</w:t>
      </w:r>
    </w:p>
    <w:p w14:paraId="6BA3EA68">
      <w:pPr>
        <w:spacing w:line="288" w:lineRule="auto"/>
        <w:rPr>
          <w:sz w:val="24"/>
        </w:rPr>
      </w:pPr>
      <w:r>
        <w:rPr>
          <w:sz w:val="24"/>
        </w:rPr>
        <w:t>C.1.2 测量标准及其他设备</w:t>
      </w:r>
    </w:p>
    <w:p w14:paraId="0A647EE3">
      <w:pPr>
        <w:spacing w:line="360" w:lineRule="auto"/>
        <w:ind w:firstLine="480" w:firstLineChars="200"/>
        <w:rPr>
          <w:sz w:val="24"/>
        </w:rPr>
      </w:pPr>
      <w:r>
        <w:rPr>
          <w:sz w:val="24"/>
        </w:rPr>
        <w:t>见表C.1。</w:t>
      </w:r>
    </w:p>
    <w:p w14:paraId="4C647B8B">
      <w:pPr>
        <w:spacing w:line="360" w:lineRule="auto"/>
        <w:jc w:val="center"/>
        <w:rPr>
          <w:sz w:val="24"/>
        </w:rPr>
      </w:pPr>
      <w:r>
        <w:rPr>
          <w:rFonts w:eastAsia="黑体"/>
        </w:rPr>
        <w:t>表C.1测量标准及其他设备</w:t>
      </w:r>
    </w:p>
    <w:tbl>
      <w:tblPr>
        <w:tblStyle w:val="35"/>
        <w:tblW w:w="8981" w:type="dxa"/>
        <w:jc w:val="center"/>
        <w:tblLayout w:type="autofit"/>
        <w:tblCellMar>
          <w:top w:w="0" w:type="dxa"/>
          <w:left w:w="108" w:type="dxa"/>
          <w:bottom w:w="0" w:type="dxa"/>
          <w:right w:w="108" w:type="dxa"/>
        </w:tblCellMar>
      </w:tblPr>
      <w:tblGrid>
        <w:gridCol w:w="720"/>
        <w:gridCol w:w="1315"/>
        <w:gridCol w:w="4111"/>
        <w:gridCol w:w="2835"/>
      </w:tblGrid>
      <w:tr w14:paraId="20E72C1D">
        <w:tblPrEx>
          <w:tblCellMar>
            <w:top w:w="0" w:type="dxa"/>
            <w:left w:w="108" w:type="dxa"/>
            <w:bottom w:w="0" w:type="dxa"/>
            <w:right w:w="108" w:type="dxa"/>
          </w:tblCellMar>
        </w:tblPrEx>
        <w:trPr>
          <w:trHeight w:val="223" w:hRule="atLeast"/>
          <w:jc w:val="center"/>
        </w:trPr>
        <w:tc>
          <w:tcPr>
            <w:tcW w:w="720" w:type="dxa"/>
            <w:tcBorders>
              <w:top w:val="single" w:color="auto" w:sz="4" w:space="0"/>
              <w:left w:val="single" w:color="auto" w:sz="4" w:space="0"/>
              <w:bottom w:val="single" w:color="auto" w:sz="4" w:space="0"/>
              <w:right w:val="single" w:color="auto" w:sz="4" w:space="0"/>
            </w:tcBorders>
            <w:noWrap/>
            <w:vAlign w:val="center"/>
          </w:tcPr>
          <w:p w14:paraId="45E45C5C">
            <w:pPr>
              <w:widowControl/>
              <w:jc w:val="center"/>
              <w:rPr>
                <w:kern w:val="0"/>
                <w:szCs w:val="21"/>
              </w:rPr>
            </w:pPr>
            <w:r>
              <w:rPr>
                <w:kern w:val="0"/>
                <w:szCs w:val="21"/>
              </w:rPr>
              <w:t>序号</w:t>
            </w:r>
          </w:p>
        </w:tc>
        <w:tc>
          <w:tcPr>
            <w:tcW w:w="1315" w:type="dxa"/>
            <w:tcBorders>
              <w:top w:val="single" w:color="auto" w:sz="4" w:space="0"/>
              <w:left w:val="nil"/>
              <w:bottom w:val="single" w:color="auto" w:sz="4" w:space="0"/>
              <w:right w:val="single" w:color="auto" w:sz="4" w:space="0"/>
            </w:tcBorders>
            <w:noWrap/>
            <w:vAlign w:val="center"/>
          </w:tcPr>
          <w:p w14:paraId="64B81F98">
            <w:pPr>
              <w:widowControl/>
              <w:jc w:val="center"/>
              <w:rPr>
                <w:kern w:val="0"/>
                <w:szCs w:val="21"/>
              </w:rPr>
            </w:pPr>
            <w:r>
              <w:rPr>
                <w:kern w:val="0"/>
                <w:szCs w:val="21"/>
              </w:rPr>
              <w:t>设备名称</w:t>
            </w:r>
          </w:p>
        </w:tc>
        <w:tc>
          <w:tcPr>
            <w:tcW w:w="4111" w:type="dxa"/>
            <w:tcBorders>
              <w:top w:val="single" w:color="auto" w:sz="4" w:space="0"/>
              <w:left w:val="nil"/>
              <w:bottom w:val="single" w:color="auto" w:sz="4" w:space="0"/>
              <w:right w:val="single" w:color="auto" w:sz="4" w:space="0"/>
            </w:tcBorders>
            <w:noWrap/>
            <w:vAlign w:val="center"/>
          </w:tcPr>
          <w:p w14:paraId="06A0F2D3">
            <w:pPr>
              <w:widowControl/>
              <w:jc w:val="center"/>
              <w:rPr>
                <w:kern w:val="0"/>
                <w:szCs w:val="21"/>
              </w:rPr>
            </w:pPr>
            <w:r>
              <w:rPr>
                <w:kern w:val="0"/>
                <w:szCs w:val="21"/>
              </w:rPr>
              <w:t>技术要求</w:t>
            </w:r>
          </w:p>
        </w:tc>
        <w:tc>
          <w:tcPr>
            <w:tcW w:w="2835" w:type="dxa"/>
            <w:tcBorders>
              <w:top w:val="single" w:color="auto" w:sz="4" w:space="0"/>
              <w:left w:val="nil"/>
              <w:bottom w:val="single" w:color="auto" w:sz="4" w:space="0"/>
              <w:right w:val="single" w:color="auto" w:sz="4" w:space="0"/>
            </w:tcBorders>
            <w:noWrap/>
            <w:vAlign w:val="center"/>
          </w:tcPr>
          <w:p w14:paraId="67902BA4">
            <w:pPr>
              <w:widowControl/>
              <w:jc w:val="center"/>
              <w:rPr>
                <w:kern w:val="0"/>
                <w:szCs w:val="21"/>
              </w:rPr>
            </w:pPr>
            <w:r>
              <w:rPr>
                <w:kern w:val="0"/>
                <w:szCs w:val="21"/>
              </w:rPr>
              <w:t>用途</w:t>
            </w:r>
          </w:p>
        </w:tc>
      </w:tr>
      <w:tr w14:paraId="335AB008">
        <w:tblPrEx>
          <w:tblCellMar>
            <w:top w:w="0" w:type="dxa"/>
            <w:left w:w="108" w:type="dxa"/>
            <w:bottom w:w="0" w:type="dxa"/>
            <w:right w:w="108" w:type="dxa"/>
          </w:tblCellMar>
        </w:tblPrEx>
        <w:trPr>
          <w:trHeight w:val="645" w:hRule="atLeast"/>
          <w:jc w:val="center"/>
        </w:trPr>
        <w:tc>
          <w:tcPr>
            <w:tcW w:w="720" w:type="dxa"/>
            <w:tcBorders>
              <w:top w:val="nil"/>
              <w:left w:val="single" w:color="auto" w:sz="4" w:space="0"/>
              <w:bottom w:val="single" w:color="auto" w:sz="4" w:space="0"/>
              <w:right w:val="single" w:color="auto" w:sz="4" w:space="0"/>
            </w:tcBorders>
            <w:noWrap/>
            <w:vAlign w:val="center"/>
          </w:tcPr>
          <w:p w14:paraId="5F941FD6">
            <w:pPr>
              <w:widowControl/>
              <w:jc w:val="center"/>
              <w:rPr>
                <w:kern w:val="0"/>
                <w:szCs w:val="21"/>
              </w:rPr>
            </w:pPr>
            <w:r>
              <w:rPr>
                <w:kern w:val="0"/>
                <w:szCs w:val="21"/>
              </w:rPr>
              <w:t>1</w:t>
            </w:r>
          </w:p>
        </w:tc>
        <w:tc>
          <w:tcPr>
            <w:tcW w:w="1315" w:type="dxa"/>
            <w:tcBorders>
              <w:top w:val="nil"/>
              <w:left w:val="nil"/>
              <w:bottom w:val="single" w:color="auto" w:sz="4" w:space="0"/>
              <w:right w:val="single" w:color="auto" w:sz="4" w:space="0"/>
            </w:tcBorders>
            <w:noWrap/>
            <w:vAlign w:val="center"/>
          </w:tcPr>
          <w:p w14:paraId="509643A3">
            <w:pPr>
              <w:widowControl/>
              <w:jc w:val="center"/>
              <w:rPr>
                <w:kern w:val="0"/>
                <w:szCs w:val="21"/>
              </w:rPr>
            </w:pPr>
            <w:r>
              <w:rPr>
                <w:kern w:val="0"/>
                <w:szCs w:val="21"/>
              </w:rPr>
              <w:t>标准铂铑10-铂热热电偶及配套电测设备</w:t>
            </w:r>
          </w:p>
        </w:tc>
        <w:tc>
          <w:tcPr>
            <w:tcW w:w="4111" w:type="dxa"/>
            <w:tcBorders>
              <w:top w:val="single" w:color="auto" w:sz="4" w:space="0"/>
              <w:left w:val="nil"/>
              <w:bottom w:val="single" w:color="auto" w:sz="4" w:space="0"/>
              <w:right w:val="single" w:color="auto" w:sz="4" w:space="0"/>
            </w:tcBorders>
            <w:noWrap/>
            <w:vAlign w:val="center"/>
          </w:tcPr>
          <w:p w14:paraId="2FAD9776">
            <w:pPr>
              <w:widowControl/>
              <w:jc w:val="left"/>
              <w:rPr>
                <w:kern w:val="0"/>
                <w:szCs w:val="21"/>
              </w:rPr>
            </w:pPr>
            <w:r>
              <w:rPr>
                <w:kern w:val="0"/>
                <w:szCs w:val="21"/>
              </w:rPr>
              <w:t>1.标准铂铑10-铂热热电偶一等；测量范围：（300~1300）℃;</w:t>
            </w:r>
          </w:p>
          <w:p w14:paraId="31985C24">
            <w:pPr>
              <w:widowControl/>
              <w:jc w:val="left"/>
              <w:rPr>
                <w:kern w:val="0"/>
                <w:szCs w:val="21"/>
              </w:rPr>
            </w:pPr>
            <w:r>
              <w:rPr>
                <w:kern w:val="0"/>
                <w:szCs w:val="21"/>
              </w:rPr>
              <w:t>2.吉时利2010，量程（0~100）mV，最大允许误差：±（37×10</w:t>
            </w:r>
            <w:r>
              <w:rPr>
                <w:kern w:val="0"/>
                <w:szCs w:val="21"/>
                <w:vertAlign w:val="superscript"/>
              </w:rPr>
              <w:t>-6</w:t>
            </w:r>
            <w:r>
              <w:rPr>
                <w:kern w:val="0"/>
                <w:szCs w:val="21"/>
              </w:rPr>
              <w:t>×读数+9×10</w:t>
            </w:r>
            <w:r>
              <w:rPr>
                <w:kern w:val="0"/>
                <w:szCs w:val="21"/>
                <w:vertAlign w:val="superscript"/>
              </w:rPr>
              <w:t>-6</w:t>
            </w:r>
            <w:r>
              <w:rPr>
                <w:kern w:val="0"/>
                <w:szCs w:val="21"/>
              </w:rPr>
              <w:t>×量程）</w:t>
            </w:r>
          </w:p>
        </w:tc>
        <w:tc>
          <w:tcPr>
            <w:tcW w:w="2835" w:type="dxa"/>
            <w:tcBorders>
              <w:top w:val="nil"/>
              <w:left w:val="single" w:color="auto" w:sz="4" w:space="0"/>
              <w:bottom w:val="single" w:color="auto" w:sz="4" w:space="0"/>
              <w:right w:val="single" w:color="auto" w:sz="4" w:space="0"/>
            </w:tcBorders>
            <w:noWrap/>
            <w:vAlign w:val="center"/>
          </w:tcPr>
          <w:p w14:paraId="3D13957D">
            <w:pPr>
              <w:widowControl/>
              <w:jc w:val="center"/>
              <w:rPr>
                <w:kern w:val="0"/>
                <w:szCs w:val="21"/>
              </w:rPr>
            </w:pPr>
            <w:r>
              <w:rPr>
                <w:kern w:val="0"/>
                <w:szCs w:val="21"/>
              </w:rPr>
              <w:t>标准器</w:t>
            </w:r>
          </w:p>
        </w:tc>
      </w:tr>
      <w:tr w14:paraId="2C85FD06">
        <w:tblPrEx>
          <w:tblCellMar>
            <w:top w:w="0" w:type="dxa"/>
            <w:left w:w="108" w:type="dxa"/>
            <w:bottom w:w="0" w:type="dxa"/>
            <w:right w:w="108" w:type="dxa"/>
          </w:tblCellMar>
        </w:tblPrEx>
        <w:trPr>
          <w:trHeight w:val="336" w:hRule="atLeast"/>
          <w:jc w:val="center"/>
        </w:trPr>
        <w:tc>
          <w:tcPr>
            <w:tcW w:w="720" w:type="dxa"/>
            <w:tcBorders>
              <w:top w:val="single" w:color="auto" w:sz="4" w:space="0"/>
              <w:left w:val="single" w:color="auto" w:sz="4" w:space="0"/>
              <w:bottom w:val="single" w:color="auto" w:sz="4" w:space="0"/>
              <w:right w:val="single" w:color="auto" w:sz="4" w:space="0"/>
            </w:tcBorders>
            <w:noWrap/>
            <w:vAlign w:val="center"/>
          </w:tcPr>
          <w:p w14:paraId="391FF1A8">
            <w:pPr>
              <w:widowControl/>
              <w:jc w:val="center"/>
              <w:rPr>
                <w:kern w:val="0"/>
                <w:szCs w:val="21"/>
              </w:rPr>
            </w:pPr>
            <w:r>
              <w:rPr>
                <w:kern w:val="0"/>
                <w:szCs w:val="21"/>
              </w:rPr>
              <w:t>2</w:t>
            </w:r>
          </w:p>
        </w:tc>
        <w:tc>
          <w:tcPr>
            <w:tcW w:w="1315" w:type="dxa"/>
            <w:tcBorders>
              <w:top w:val="single" w:color="auto" w:sz="4" w:space="0"/>
              <w:left w:val="single" w:color="auto" w:sz="4" w:space="0"/>
              <w:bottom w:val="single" w:color="auto" w:sz="4" w:space="0"/>
              <w:right w:val="single" w:color="auto" w:sz="4" w:space="0"/>
            </w:tcBorders>
            <w:vAlign w:val="center"/>
          </w:tcPr>
          <w:p w14:paraId="19869034">
            <w:pPr>
              <w:widowControl/>
              <w:jc w:val="center"/>
              <w:rPr>
                <w:kern w:val="0"/>
                <w:szCs w:val="21"/>
              </w:rPr>
            </w:pPr>
            <w:r>
              <w:rPr>
                <w:kern w:val="0"/>
                <w:szCs w:val="21"/>
              </w:rPr>
              <w:t>冰点恒温器</w:t>
            </w:r>
          </w:p>
        </w:tc>
        <w:tc>
          <w:tcPr>
            <w:tcW w:w="4111" w:type="dxa"/>
            <w:tcBorders>
              <w:top w:val="single" w:color="auto" w:sz="4" w:space="0"/>
              <w:left w:val="nil"/>
              <w:bottom w:val="single" w:color="auto" w:sz="4" w:space="0"/>
              <w:right w:val="single" w:color="auto" w:sz="4" w:space="0"/>
            </w:tcBorders>
            <w:noWrap/>
            <w:vAlign w:val="center"/>
          </w:tcPr>
          <w:p w14:paraId="5A56CA05">
            <w:pPr>
              <w:widowControl/>
              <w:jc w:val="center"/>
              <w:rPr>
                <w:kern w:val="0"/>
                <w:szCs w:val="21"/>
              </w:rPr>
            </w:pPr>
            <w:r>
              <w:rPr>
                <w:kern w:val="0"/>
                <w:szCs w:val="21"/>
              </w:rPr>
              <w:t>最大允许偏差：±0.1℃</w:t>
            </w:r>
          </w:p>
        </w:tc>
        <w:tc>
          <w:tcPr>
            <w:tcW w:w="2835" w:type="dxa"/>
            <w:tcBorders>
              <w:top w:val="single" w:color="auto" w:sz="4" w:space="0"/>
              <w:left w:val="nil"/>
              <w:bottom w:val="single" w:color="auto" w:sz="4" w:space="0"/>
              <w:right w:val="single" w:color="auto" w:sz="4" w:space="0"/>
            </w:tcBorders>
            <w:vAlign w:val="center"/>
          </w:tcPr>
          <w:p w14:paraId="4E910552">
            <w:pPr>
              <w:widowControl/>
              <w:jc w:val="center"/>
              <w:rPr>
                <w:kern w:val="0"/>
                <w:szCs w:val="21"/>
              </w:rPr>
            </w:pPr>
            <w:r>
              <w:rPr>
                <w:kern w:val="0"/>
                <w:szCs w:val="21"/>
              </w:rPr>
              <w:t>为标准铂铑10-铂热电偶参考端提供0℃恒温场</w:t>
            </w:r>
          </w:p>
        </w:tc>
      </w:tr>
      <w:tr w14:paraId="4830EFA7">
        <w:tblPrEx>
          <w:tblCellMar>
            <w:top w:w="0" w:type="dxa"/>
            <w:left w:w="108" w:type="dxa"/>
            <w:bottom w:w="0" w:type="dxa"/>
            <w:right w:w="108" w:type="dxa"/>
          </w:tblCellMar>
        </w:tblPrEx>
        <w:trPr>
          <w:trHeight w:val="600" w:hRule="atLeast"/>
          <w:jc w:val="center"/>
        </w:trPr>
        <w:tc>
          <w:tcPr>
            <w:tcW w:w="720" w:type="dxa"/>
            <w:tcBorders>
              <w:top w:val="single" w:color="auto" w:sz="4" w:space="0"/>
              <w:left w:val="single" w:color="auto" w:sz="4" w:space="0"/>
              <w:bottom w:val="single" w:color="auto" w:sz="4" w:space="0"/>
              <w:right w:val="single" w:color="auto" w:sz="4" w:space="0"/>
            </w:tcBorders>
            <w:noWrap/>
            <w:vAlign w:val="center"/>
          </w:tcPr>
          <w:p w14:paraId="2B4887AD">
            <w:pPr>
              <w:widowControl/>
              <w:jc w:val="center"/>
              <w:rPr>
                <w:kern w:val="0"/>
                <w:szCs w:val="21"/>
              </w:rPr>
            </w:pPr>
            <w:r>
              <w:rPr>
                <w:kern w:val="0"/>
                <w:szCs w:val="21"/>
              </w:rPr>
              <w:t>3</w:t>
            </w:r>
          </w:p>
        </w:tc>
        <w:tc>
          <w:tcPr>
            <w:tcW w:w="1315" w:type="dxa"/>
            <w:tcBorders>
              <w:top w:val="single" w:color="auto" w:sz="4" w:space="0"/>
              <w:left w:val="single" w:color="auto" w:sz="4" w:space="0"/>
              <w:bottom w:val="single" w:color="auto" w:sz="4" w:space="0"/>
              <w:right w:val="single" w:color="auto" w:sz="4" w:space="0"/>
            </w:tcBorders>
            <w:vAlign w:val="center"/>
          </w:tcPr>
          <w:p w14:paraId="1889D00A">
            <w:pPr>
              <w:widowControl/>
              <w:jc w:val="center"/>
              <w:rPr>
                <w:kern w:val="0"/>
                <w:szCs w:val="21"/>
              </w:rPr>
            </w:pPr>
            <w:r>
              <w:rPr>
                <w:kern w:val="0"/>
                <w:szCs w:val="21"/>
              </w:rPr>
              <w:t>热电偶检定炉</w:t>
            </w:r>
          </w:p>
        </w:tc>
        <w:tc>
          <w:tcPr>
            <w:tcW w:w="4111" w:type="dxa"/>
            <w:tcBorders>
              <w:top w:val="single" w:color="auto" w:sz="4" w:space="0"/>
              <w:left w:val="nil"/>
              <w:bottom w:val="single" w:color="auto" w:sz="4" w:space="0"/>
              <w:right w:val="single" w:color="auto" w:sz="4" w:space="0"/>
            </w:tcBorders>
            <w:noWrap/>
            <w:vAlign w:val="center"/>
          </w:tcPr>
          <w:p w14:paraId="79FEE174">
            <w:pPr>
              <w:widowControl/>
              <w:rPr>
                <w:kern w:val="0"/>
                <w:szCs w:val="21"/>
              </w:rPr>
            </w:pPr>
            <w:r>
              <w:rPr>
                <w:kern w:val="0"/>
                <w:szCs w:val="21"/>
              </w:rPr>
              <w:t>配置均温块的恒温设备，温度范围满足校准的要求；热电偶插入均温块的深度与孔径之比大于10:1；从孔底算起轴向30 mm内温差不大于0.5℃；孔底同一截面任意孔间的温差绝对值不大于0.25℃</w:t>
            </w:r>
          </w:p>
        </w:tc>
        <w:tc>
          <w:tcPr>
            <w:tcW w:w="2835" w:type="dxa"/>
            <w:tcBorders>
              <w:top w:val="single" w:color="auto" w:sz="4" w:space="0"/>
              <w:left w:val="nil"/>
              <w:bottom w:val="single" w:color="auto" w:sz="4" w:space="0"/>
              <w:right w:val="single" w:color="auto" w:sz="4" w:space="0"/>
            </w:tcBorders>
            <w:vAlign w:val="center"/>
          </w:tcPr>
          <w:p w14:paraId="421C0678">
            <w:pPr>
              <w:widowControl/>
              <w:jc w:val="center"/>
              <w:rPr>
                <w:kern w:val="0"/>
                <w:szCs w:val="21"/>
              </w:rPr>
            </w:pPr>
            <w:r>
              <w:rPr>
                <w:kern w:val="0"/>
                <w:szCs w:val="21"/>
              </w:rPr>
              <w:t>温度源</w:t>
            </w:r>
          </w:p>
        </w:tc>
      </w:tr>
    </w:tbl>
    <w:p w14:paraId="1866AD24">
      <w:pPr>
        <w:spacing w:line="288" w:lineRule="auto"/>
        <w:rPr>
          <w:sz w:val="24"/>
        </w:rPr>
      </w:pPr>
      <w:r>
        <w:rPr>
          <w:sz w:val="24"/>
        </w:rPr>
        <w:t>C.1.3 校准方法</w:t>
      </w:r>
    </w:p>
    <w:p w14:paraId="360CFEE4">
      <w:pPr>
        <w:spacing w:line="360" w:lineRule="auto"/>
        <w:ind w:firstLine="480" w:firstLineChars="200"/>
        <w:rPr>
          <w:sz w:val="24"/>
        </w:rPr>
      </w:pPr>
      <w:r>
        <w:rPr>
          <w:sz w:val="24"/>
        </w:rPr>
        <w:t>按照本规范规定方法进行操作，当测量标准示值偏离校准点±5℃以内，温度变化每分钟不超过0.2℃时，开始读数，在每一校准点的完整读数过程中，温度变化不得超过0.5℃。测量标准铂铑10-铂热电偶的热电动势值并记录炉温跟踪仪通道显示值。</w:t>
      </w:r>
    </w:p>
    <w:p w14:paraId="2B9B4F3D">
      <w:pPr>
        <w:spacing w:line="288" w:lineRule="auto"/>
        <w:rPr>
          <w:sz w:val="24"/>
        </w:rPr>
      </w:pPr>
      <w:r>
        <w:rPr>
          <w:sz w:val="24"/>
        </w:rPr>
        <w:t>C.2测量模型</w:t>
      </w:r>
    </w:p>
    <w:p w14:paraId="003BABE9">
      <w:pPr>
        <w:pStyle w:val="142"/>
      </w:pPr>
      <w:r>
        <w:rPr>
          <w:rFonts w:hint="eastAsia"/>
          <w:position w:val="-32"/>
        </w:rPr>
        <w:t xml:space="preserve">                             </w:t>
      </w:r>
      <w:r>
        <w:rPr>
          <w:position w:val="-32"/>
        </w:rPr>
        <w:object>
          <v:shape id="_x0000_i1044" o:spt="75" type="#_x0000_t75" style="height:37.5pt;width:139.5pt;" o:ole="t" filled="f" o:preferrelative="t" stroked="f" coordsize="21600,21600">
            <v:path/>
            <v:fill on="f" focussize="0,0"/>
            <v:stroke on="f" joinstyle="miter"/>
            <v:imagedata r:id="rId53" o:title=""/>
            <o:lock v:ext="edit" aspectratio="t"/>
            <w10:wrap type="none"/>
            <w10:anchorlock/>
          </v:shape>
          <o:OLEObject Type="Embed" ProgID="Equation.DSMT4" ShapeID="_x0000_i1044" DrawAspect="Content" ObjectID="_1468075746" r:id="rId52">
            <o:LockedField>false</o:LockedField>
          </o:OLEObject>
        </w:object>
      </w:r>
      <w:r>
        <w:rPr>
          <w:rFonts w:hint="eastAsia"/>
          <w:position w:val="-32"/>
        </w:rPr>
        <w:t xml:space="preserve">                 </w:t>
      </w:r>
      <w:r>
        <w:rPr>
          <w:sz w:val="24"/>
        </w:rPr>
        <w:t>（C.1）</w:t>
      </w:r>
    </w:p>
    <w:p w14:paraId="0C3EA778">
      <w:pPr>
        <w:pStyle w:val="142"/>
        <w:jc w:val="both"/>
        <w:rPr>
          <w:sz w:val="24"/>
        </w:rPr>
      </w:pPr>
      <w:r>
        <w:rPr>
          <w:sz w:val="24"/>
        </w:rPr>
        <w:t>式中：</w:t>
      </w:r>
    </w:p>
    <w:p w14:paraId="5AAB654F">
      <w:pPr>
        <w:pStyle w:val="142"/>
        <w:jc w:val="both"/>
        <w:rPr>
          <w:sz w:val="24"/>
        </w:rPr>
      </w:pPr>
      <w:r>
        <w:rPr>
          <w:position w:val="-12"/>
        </w:rPr>
        <w:object>
          <v:shape id="_x0000_i1045" o:spt="75" type="#_x0000_t75" style="height:18pt;width:16.5pt;" o:ole="t" filled="f" o:preferrelative="t" stroked="f" coordsize="21600,21600">
            <v:path/>
            <v:fill on="f" focussize="0,0"/>
            <v:stroke on="f" joinstyle="miter"/>
            <v:imagedata r:id="rId14" o:title=""/>
            <o:lock v:ext="edit" aspectratio="t"/>
            <w10:wrap type="none"/>
            <w10:anchorlock/>
          </v:shape>
          <o:OLEObject Type="Embed" ProgID="Equation.DSMT4" ShapeID="_x0000_i1045" DrawAspect="Content" ObjectID="_1468075747" r:id="rId54">
            <o:LockedField>false</o:LockedField>
          </o:OLEObject>
        </w:object>
      </w:r>
      <w:r>
        <w:rPr>
          <w:sz w:val="24"/>
        </w:rPr>
        <w:t>——在某工况温度某温度校准点上，炉温跟踪仪第</w:t>
      </w:r>
      <w:r>
        <w:rPr>
          <w:i/>
          <w:sz w:val="24"/>
        </w:rPr>
        <w:t>i</w:t>
      </w:r>
      <w:r>
        <w:rPr>
          <w:sz w:val="24"/>
        </w:rPr>
        <w:t>通道的温度示值误差，℃；</w:t>
      </w:r>
    </w:p>
    <w:p w14:paraId="7C5A712F">
      <w:pPr>
        <w:pStyle w:val="142"/>
        <w:jc w:val="both"/>
        <w:rPr>
          <w:sz w:val="24"/>
        </w:rPr>
      </w:pPr>
      <w:r>
        <w:rPr>
          <w:position w:val="-12"/>
        </w:rPr>
        <w:object>
          <v:shape id="_x0000_i1046" o:spt="75" type="#_x0000_t75" style="height:18pt;width:10.5pt;" o:ole="t" filled="f" o:preferrelative="t" stroked="f" coordsize="21600,21600">
            <v:path/>
            <v:fill on="f" focussize="0,0"/>
            <v:stroke on="f" joinstyle="miter"/>
            <v:imagedata r:id="rId16" o:title=""/>
            <o:lock v:ext="edit" aspectratio="t"/>
            <w10:wrap type="none"/>
            <w10:anchorlock/>
          </v:shape>
          <o:OLEObject Type="Embed" ProgID="Equation.DSMT4" ShapeID="_x0000_i1046" DrawAspect="Content" ObjectID="_1468075748" r:id="rId55">
            <o:LockedField>false</o:LockedField>
          </o:OLEObject>
        </w:object>
      </w:r>
      <w:r>
        <w:rPr>
          <w:sz w:val="24"/>
        </w:rPr>
        <w:t>——在某工况温度某温度校准点上，炉温跟踪仪第</w:t>
      </w:r>
      <w:r>
        <w:rPr>
          <w:i/>
          <w:sz w:val="24"/>
        </w:rPr>
        <w:t>i</w:t>
      </w:r>
      <w:r>
        <w:rPr>
          <w:sz w:val="24"/>
        </w:rPr>
        <w:t>通道4次读数的平均值，℃；</w:t>
      </w:r>
    </w:p>
    <w:p w14:paraId="34B525C4">
      <w:r>
        <w:rPr>
          <w:position w:val="-12"/>
        </w:rPr>
        <w:object>
          <v:shape id="_x0000_i1047" o:spt="75" type="#_x0000_t75" style="height:18pt;width:10.5pt;" o:ole="t" filled="f" o:preferrelative="t" stroked="f" coordsize="21600,21600">
            <v:path/>
            <v:fill on="f" focussize="0,0"/>
            <v:stroke on="f" joinstyle="miter"/>
            <v:imagedata r:id="rId18" o:title=""/>
            <o:lock v:ext="edit" aspectratio="t"/>
            <w10:wrap type="none"/>
            <w10:anchorlock/>
          </v:shape>
          <o:OLEObject Type="Embed" ProgID="Equation.DSMT4" ShapeID="_x0000_i1047" DrawAspect="Content" ObjectID="_1468075749" r:id="rId56">
            <o:LockedField>false</o:LockedField>
          </o:OLEObject>
        </w:object>
      </w:r>
      <w:r>
        <w:rPr>
          <w:sz w:val="24"/>
        </w:rPr>
        <w:t>——在某工况温度某温度校准点上，标准实际值，℃；</w:t>
      </w:r>
    </w:p>
    <w:p w14:paraId="24769643">
      <w:pPr>
        <w:spacing w:line="360" w:lineRule="auto"/>
        <w:rPr>
          <w:sz w:val="24"/>
        </w:rPr>
      </w:pPr>
      <w:r>
        <w:rPr>
          <w:position w:val="-6"/>
        </w:rPr>
        <w:object>
          <v:shape id="_x0000_i1048" o:spt="75" type="#_x0000_t75" style="height:12.75pt;width:7.5pt;" o:ole="t" filled="f" o:preferrelative="t" stroked="f" coordsize="21600,21600">
            <v:path/>
            <v:fill on="f" focussize="0,0"/>
            <v:stroke on="f" joinstyle="miter"/>
            <v:imagedata r:id="rId22" o:title=""/>
            <o:lock v:ext="edit" aspectratio="t"/>
            <w10:wrap type="none"/>
            <w10:anchorlock/>
          </v:shape>
          <o:OLEObject Type="Embed" ProgID="Equation.DSMT4" ShapeID="_x0000_i1048" DrawAspect="Content" ObjectID="_1468075750" r:id="rId57">
            <o:LockedField>false</o:LockedField>
          </o:OLEObject>
        </w:object>
      </w:r>
      <w:r>
        <w:rPr>
          <w:sz w:val="24"/>
        </w:rPr>
        <w:t>——名义校准温度，℃；</w:t>
      </w:r>
    </w:p>
    <w:p w14:paraId="746F5BCF">
      <w:pPr>
        <w:spacing w:line="360" w:lineRule="auto"/>
        <w:rPr>
          <w:sz w:val="24"/>
        </w:rPr>
      </w:pPr>
      <w:r>
        <w:rPr>
          <w:position w:val="-14"/>
        </w:rPr>
        <w:object>
          <v:shape id="_x0000_i1049" o:spt="75" type="#_x0000_t75" style="height:19.5pt;width:37.5pt;" o:ole="t" filled="f" o:preferrelative="t" stroked="f" coordsize="21600,21600">
            <v:path/>
            <v:fill on="f" focussize="0,0"/>
            <v:stroke on="f" joinstyle="miter"/>
            <v:imagedata r:id="rId39" o:title=""/>
            <o:lock v:ext="edit" aspectratio="t"/>
            <w10:wrap type="none"/>
            <w10:anchorlock/>
          </v:shape>
          <o:OLEObject Type="Embed" ProgID="Equation.DSMT4" ShapeID="_x0000_i1049" DrawAspect="Content" ObjectID="_1468075751" r:id="rId58">
            <o:LockedField>false</o:LockedField>
          </o:OLEObject>
        </w:object>
      </w:r>
      <w:r>
        <w:rPr>
          <w:sz w:val="24"/>
        </w:rPr>
        <w:t>——标准热电偶证书上温度</w:t>
      </w:r>
      <w:r>
        <w:rPr>
          <w:i/>
          <w:sz w:val="24"/>
        </w:rPr>
        <w:t>t</w:t>
      </w:r>
      <w:r>
        <w:rPr>
          <w:sz w:val="24"/>
        </w:rPr>
        <w:t>时的热电动势值，mV；</w:t>
      </w:r>
    </w:p>
    <w:p w14:paraId="6F21FB5F">
      <w:pPr>
        <w:spacing w:line="360" w:lineRule="auto"/>
        <w:rPr>
          <w:sz w:val="24"/>
        </w:rPr>
      </w:pPr>
      <w:r>
        <w:rPr>
          <w:position w:val="-14"/>
        </w:rPr>
        <w:object>
          <v:shape id="_x0000_i1050" o:spt="75" type="#_x0000_t75" style="height:19.5pt;width:42pt;" o:ole="t" filled="f" o:preferrelative="t" stroked="f" coordsize="21600,21600">
            <v:path/>
            <v:fill on="f" focussize="0,0"/>
            <v:stroke on="f" joinstyle="miter"/>
            <v:imagedata r:id="rId41" o:title=""/>
            <o:lock v:ext="edit" aspectratio="t"/>
            <w10:wrap type="none"/>
            <w10:anchorlock/>
          </v:shape>
          <o:OLEObject Type="Embed" ProgID="Equation.DSMT4" ShapeID="_x0000_i1050" DrawAspect="Content" ObjectID="_1468075752" r:id="rId59">
            <o:LockedField>false</o:LockedField>
          </o:OLEObject>
        </w:object>
      </w:r>
      <w:r>
        <w:rPr>
          <w:sz w:val="24"/>
        </w:rPr>
        <w:t>——标准热电偶测得的热电动势11次读数平均值，mV；</w:t>
      </w:r>
    </w:p>
    <w:p w14:paraId="05B5705D">
      <w:pPr>
        <w:spacing w:line="360" w:lineRule="auto"/>
        <w:rPr>
          <w:sz w:val="24"/>
        </w:rPr>
      </w:pPr>
      <w:r>
        <w:rPr>
          <w:position w:val="-14"/>
        </w:rPr>
        <w:object>
          <v:shape id="_x0000_i1051" o:spt="75" type="#_x0000_t75" style="height:19.5pt;width:33pt;" o:ole="t" filled="f" o:preferrelative="t" stroked="f" coordsize="21600,21600">
            <v:path/>
            <v:fill on="f" focussize="0,0"/>
            <v:stroke on="f" joinstyle="miter"/>
            <v:imagedata r:id="rId43" o:title=""/>
            <o:lock v:ext="edit" aspectratio="t"/>
            <w10:wrap type="none"/>
            <w10:anchorlock/>
          </v:shape>
          <o:OLEObject Type="Embed" ProgID="Equation.DSMT4" ShapeID="_x0000_i1051" DrawAspect="Content" ObjectID="_1468075753" r:id="rId60">
            <o:LockedField>false</o:LockedField>
          </o:OLEObject>
        </w:object>
      </w:r>
      <w:r>
        <w:rPr>
          <w:sz w:val="24"/>
        </w:rPr>
        <w:t>——标准热电偶在</w:t>
      </w:r>
      <w:r>
        <w:rPr>
          <w:i/>
          <w:sz w:val="24"/>
        </w:rPr>
        <w:t>t</w:t>
      </w:r>
      <w:r>
        <w:rPr>
          <w:sz w:val="24"/>
        </w:rPr>
        <w:t>校准点的微分热电动势，μV/℃。</w:t>
      </w:r>
    </w:p>
    <w:p w14:paraId="1CA45536">
      <w:pPr>
        <w:spacing w:line="360" w:lineRule="auto"/>
        <w:rPr>
          <w:sz w:val="24"/>
        </w:rPr>
      </w:pPr>
      <w:r>
        <w:rPr>
          <w:sz w:val="24"/>
        </w:rPr>
        <w:t>合成标准不确定度</w:t>
      </w:r>
      <w:r>
        <w:rPr>
          <w:i/>
          <w:sz w:val="24"/>
        </w:rPr>
        <w:t>u</w:t>
      </w:r>
      <w:r>
        <w:rPr>
          <w:i/>
          <w:sz w:val="24"/>
          <w:vertAlign w:val="subscript"/>
        </w:rPr>
        <w:t>c</w:t>
      </w:r>
      <w:r>
        <w:rPr>
          <w:sz w:val="24"/>
        </w:rPr>
        <w:t>：</w:t>
      </w:r>
    </w:p>
    <w:p w14:paraId="6765BFA6">
      <w:pPr>
        <w:pStyle w:val="142"/>
        <w:wordWrap w:val="0"/>
        <w:ind w:right="720"/>
      </w:pPr>
      <w:r>
        <w:rPr>
          <w:rFonts w:hint="eastAsia"/>
          <w:position w:val="-18"/>
        </w:rPr>
        <w:t xml:space="preserve">                          </w:t>
      </w:r>
      <w:r>
        <w:rPr>
          <w:position w:val="-18"/>
        </w:rPr>
        <w:object>
          <v:shape id="_x0000_i1052" o:spt="75" type="#_x0000_t75" style="height:25.5pt;width:240pt;" o:ole="t" filled="f" o:preferrelative="t" stroked="f" coordsize="21600,21600">
            <v:path/>
            <v:fill on="f" focussize="0,0"/>
            <v:stroke on="f" joinstyle="miter"/>
            <v:imagedata r:id="rId62" o:title=""/>
            <o:lock v:ext="edit" aspectratio="t"/>
            <w10:wrap type="none"/>
            <w10:anchorlock/>
          </v:shape>
          <o:OLEObject Type="Embed" ProgID="Equation.DSMT4" ShapeID="_x0000_i1052" DrawAspect="Content" ObjectID="_1468075754" r:id="rId61">
            <o:LockedField>false</o:LockedField>
          </o:OLEObject>
        </w:object>
      </w:r>
      <w:r>
        <w:rPr>
          <w:rFonts w:hint="eastAsia"/>
          <w:position w:val="-18"/>
        </w:rPr>
        <w:t xml:space="preserve">    </w:t>
      </w:r>
      <w:r>
        <w:rPr>
          <w:sz w:val="24"/>
        </w:rPr>
        <w:t>（C.2）</w:t>
      </w:r>
    </w:p>
    <w:p w14:paraId="457624A3">
      <w:pPr>
        <w:spacing w:line="360" w:lineRule="auto"/>
        <w:rPr>
          <w:sz w:val="24"/>
        </w:rPr>
      </w:pPr>
      <w:r>
        <w:rPr>
          <w:sz w:val="24"/>
        </w:rPr>
        <w:t>其中灵敏系数：</w:t>
      </w:r>
    </w:p>
    <w:p w14:paraId="6068592E">
      <w:pPr>
        <w:pStyle w:val="142"/>
      </w:pPr>
      <w:r>
        <w:rPr>
          <w:position w:val="-12"/>
        </w:rPr>
        <w:object>
          <v:shape id="_x0000_i1053" o:spt="75" type="#_x0000_t75" style="height:18pt;width:79.5pt;" o:ole="t" filled="f" o:preferrelative="t" stroked="f" coordsize="21600,21600">
            <v:path/>
            <v:fill on="f" focussize="0,0"/>
            <v:stroke on="f" joinstyle="miter"/>
            <v:imagedata r:id="rId64" o:title=""/>
            <o:lock v:ext="edit" aspectratio="t"/>
            <w10:wrap type="none"/>
            <w10:anchorlock/>
          </v:shape>
          <o:OLEObject Type="Embed" ProgID="Equation.DSMT4" ShapeID="_x0000_i1053" DrawAspect="Content" ObjectID="_1468075755" r:id="rId63">
            <o:LockedField>false</o:LockedField>
          </o:OLEObject>
        </w:object>
      </w:r>
      <w:r>
        <w:t>；</w:t>
      </w:r>
      <w:r>
        <w:rPr>
          <w:position w:val="-14"/>
        </w:rPr>
        <w:object>
          <v:shape id="_x0000_i1054" o:spt="75" type="#_x0000_t75" style="height:19.5pt;width:145.5pt;" o:ole="t" filled="f" o:preferrelative="t" stroked="f" coordsize="21600,21600">
            <v:path/>
            <v:fill on="f" focussize="0,0"/>
            <v:stroke on="f" joinstyle="miter"/>
            <v:imagedata r:id="rId66" o:title=""/>
            <o:lock v:ext="edit" aspectratio="t"/>
            <w10:wrap type="none"/>
            <w10:anchorlock/>
          </v:shape>
          <o:OLEObject Type="Embed" ProgID="Equation.DSMT4" ShapeID="_x0000_i1054" DrawAspect="Content" ObjectID="_1468075756" r:id="rId65">
            <o:LockedField>false</o:LockedField>
          </o:OLEObject>
        </w:object>
      </w:r>
      <w:r>
        <w:t>；</w:t>
      </w:r>
      <w:r>
        <w:rPr>
          <w:position w:val="-14"/>
        </w:rPr>
        <w:object>
          <v:shape id="_x0000_i1055" o:spt="75" type="#_x0000_t75" style="height:19.5pt;width:151.5pt;" o:ole="t" filled="f" o:preferrelative="t" stroked="f" coordsize="21600,21600">
            <v:path/>
            <v:fill on="f" focussize="0,0"/>
            <v:stroke on="f" joinstyle="miter"/>
            <v:imagedata r:id="rId68" o:title=""/>
            <o:lock v:ext="edit" aspectratio="t"/>
            <w10:wrap type="none"/>
            <w10:anchorlock/>
          </v:shape>
          <o:OLEObject Type="Embed" ProgID="Equation.DSMT4" ShapeID="_x0000_i1055" DrawAspect="Content" ObjectID="_1468075757" r:id="rId67">
            <o:LockedField>false</o:LockedField>
          </o:OLEObject>
        </w:object>
      </w:r>
    </w:p>
    <w:p w14:paraId="1E321CFE">
      <w:pPr>
        <w:spacing w:line="288" w:lineRule="auto"/>
        <w:rPr>
          <w:sz w:val="24"/>
        </w:rPr>
      </w:pPr>
      <w:r>
        <w:rPr>
          <w:sz w:val="24"/>
        </w:rPr>
        <w:t>C.3输入量标准不确定度评定</w:t>
      </w:r>
    </w:p>
    <w:p w14:paraId="038F099A">
      <w:pPr>
        <w:spacing w:line="520" w:lineRule="exact"/>
        <w:ind w:firstLine="480" w:firstLineChars="200"/>
        <w:rPr>
          <w:sz w:val="32"/>
        </w:rPr>
      </w:pPr>
      <w:r>
        <w:rPr>
          <w:sz w:val="24"/>
        </w:rPr>
        <w:t>输入量</w:t>
      </w:r>
      <w:r>
        <w:rPr>
          <w:position w:val="-12"/>
        </w:rPr>
        <w:object>
          <v:shape id="_x0000_i1056" o:spt="75" type="#_x0000_t75" style="height:18pt;width:10.5pt;" o:ole="t" filled="f" o:preferrelative="t" stroked="f" coordsize="21600,21600">
            <v:path/>
            <v:fill on="f" focussize="0,0"/>
            <v:stroke on="f" joinstyle="miter"/>
            <v:imagedata r:id="rId16" o:title=""/>
            <o:lock v:ext="edit" aspectratio="t"/>
            <w10:wrap type="none"/>
            <w10:anchorlock/>
          </v:shape>
          <o:OLEObject Type="Embed" ProgID="Equation.DSMT4" ShapeID="_x0000_i1056" DrawAspect="Content" ObjectID="_1468075758" r:id="rId69">
            <o:LockedField>false</o:LockedField>
          </o:OLEObject>
        </w:object>
      </w:r>
      <w:r>
        <w:rPr>
          <w:sz w:val="24"/>
        </w:rPr>
        <w:t>标准不确定度</w:t>
      </w:r>
      <w:r>
        <w:rPr>
          <w:position w:val="-14"/>
          <w:szCs w:val="21"/>
        </w:rPr>
        <w:object>
          <v:shape id="_x0000_i1057" o:spt="75" type="#_x0000_t75" style="height:19.5pt;width:26.25pt;" o:ole="t" filled="f" o:preferrelative="t" stroked="f" coordsize="21600,21600">
            <v:path/>
            <v:fill on="f" focussize="0,0"/>
            <v:stroke on="f" joinstyle="miter"/>
            <v:imagedata r:id="rId71" o:title=""/>
            <o:lock v:ext="edit" aspectratio="t"/>
            <w10:wrap type="none"/>
            <w10:anchorlock/>
          </v:shape>
          <o:OLEObject Type="Embed" ProgID="Equation.DSMT4" ShapeID="_x0000_i1057" DrawAspect="Content" ObjectID="_1468075759" r:id="rId70">
            <o:LockedField>false</o:LockedField>
          </o:OLEObject>
        </w:object>
      </w:r>
      <w:r>
        <w:rPr>
          <w:sz w:val="24"/>
        </w:rPr>
        <w:t>包括炉温跟踪仪测量重复性引入的不确定度</w:t>
      </w:r>
      <w:r>
        <w:rPr>
          <w:position w:val="-12"/>
        </w:rPr>
        <w:object>
          <v:shape id="_x0000_i1058" o:spt="75" type="#_x0000_t75" style="height:18pt;width:12.75pt;" o:ole="t" filled="f" o:preferrelative="t" stroked="f" coordsize="21600,21600">
            <v:path/>
            <v:fill on="f" focussize="0,0"/>
            <v:stroke on="f" joinstyle="miter"/>
            <v:imagedata r:id="rId73" o:title=""/>
            <o:lock v:ext="edit" aspectratio="t"/>
            <w10:wrap type="none"/>
            <w10:anchorlock/>
          </v:shape>
          <o:OLEObject Type="Embed" ProgID="Equation.DSMT4" ShapeID="_x0000_i1058" DrawAspect="Content" ObjectID="_1468075760" r:id="rId72">
            <o:LockedField>false</o:LockedField>
          </o:OLEObject>
        </w:object>
      </w:r>
      <w:r>
        <w:rPr>
          <w:sz w:val="24"/>
        </w:rPr>
        <w:t>和炉温跟踪仪分辨力引入的不确定度</w:t>
      </w:r>
      <w:r>
        <w:rPr>
          <w:position w:val="-12"/>
        </w:rPr>
        <w:object>
          <v:shape id="_x0000_i1059" o:spt="75" type="#_x0000_t75" style="height:18pt;width:13.5pt;" o:ole="t" filled="f" o:preferrelative="t" stroked="f" coordsize="21600,21600">
            <v:path/>
            <v:fill on="f" focussize="0,0"/>
            <v:stroke on="f" joinstyle="miter"/>
            <v:imagedata r:id="rId75" o:title=""/>
            <o:lock v:ext="edit" aspectratio="t"/>
            <w10:wrap type="none"/>
            <w10:anchorlock/>
          </v:shape>
          <o:OLEObject Type="Embed" ProgID="Equation.DSMT4" ShapeID="_x0000_i1059" DrawAspect="Content" ObjectID="_1468075761" r:id="rId74">
            <o:LockedField>false</o:LockedField>
          </o:OLEObject>
        </w:object>
      </w:r>
      <w:r>
        <w:rPr>
          <w:sz w:val="24"/>
        </w:rPr>
        <w:t>，炉内金属均温块径向温场不均匀性引入的不确定度</w:t>
      </w:r>
      <w:r>
        <w:rPr>
          <w:position w:val="-12"/>
        </w:rPr>
        <w:object>
          <v:shape id="_x0000_i1060" o:spt="75" type="#_x0000_t75" style="height:18pt;width:13.5pt;" o:ole="t" filled="f" o:preferrelative="t" stroked="f" coordsize="21600,21600">
            <v:path/>
            <v:fill on="f" focussize="0,0"/>
            <v:stroke on="f" joinstyle="miter"/>
            <v:imagedata r:id="rId77" o:title=""/>
            <o:lock v:ext="edit" aspectratio="t"/>
            <w10:wrap type="none"/>
            <w10:anchorlock/>
          </v:shape>
          <o:OLEObject Type="Embed" ProgID="Equation.DSMT4" ShapeID="_x0000_i1060" DrawAspect="Content" ObjectID="_1468075762" r:id="rId76">
            <o:LockedField>false</o:LockedField>
          </o:OLEObject>
        </w:object>
      </w:r>
      <w:r>
        <w:rPr>
          <w:sz w:val="24"/>
        </w:rPr>
        <w:t>和炉温波动引入的不确定度</w:t>
      </w:r>
      <w:r>
        <w:rPr>
          <w:position w:val="-12"/>
        </w:rPr>
        <w:object>
          <v:shape id="_x0000_i1061" o:spt="75" type="#_x0000_t75" style="height:18pt;width:13.5pt;" o:ole="t" filled="f" o:preferrelative="t" stroked="f" coordsize="21600,21600">
            <v:path/>
            <v:fill on="f" focussize="0,0"/>
            <v:stroke on="f" joinstyle="miter"/>
            <v:imagedata r:id="rId79" o:title=""/>
            <o:lock v:ext="edit" aspectratio="t"/>
            <w10:wrap type="none"/>
            <w10:anchorlock/>
          </v:shape>
          <o:OLEObject Type="Embed" ProgID="Equation.DSMT4" ShapeID="_x0000_i1061" DrawAspect="Content" ObjectID="_1468075763" r:id="rId78">
            <o:LockedField>false</o:LockedField>
          </o:OLEObject>
        </w:object>
      </w:r>
      <w:r>
        <w:t>。</w:t>
      </w:r>
    </w:p>
    <w:p w14:paraId="21701DCE">
      <w:pPr>
        <w:spacing w:line="520" w:lineRule="exact"/>
        <w:ind w:firstLine="480" w:firstLineChars="200"/>
      </w:pPr>
      <w:r>
        <w:rPr>
          <w:sz w:val="24"/>
        </w:rPr>
        <w:t>输入量</w:t>
      </w:r>
      <w:r>
        <w:rPr>
          <w:position w:val="-14"/>
        </w:rPr>
        <w:object>
          <v:shape id="_x0000_i1062" o:spt="75" type="#_x0000_t75" style="height:19.5pt;width:37.5pt;" o:ole="t" filled="f" o:preferrelative="t" stroked="f" coordsize="21600,21600">
            <v:path/>
            <v:fill on="f" focussize="0,0"/>
            <v:stroke on="f" joinstyle="miter"/>
            <v:imagedata r:id="rId81" o:title=""/>
            <o:lock v:ext="edit" aspectratio="t"/>
            <w10:wrap type="none"/>
            <w10:anchorlock/>
          </v:shape>
          <o:OLEObject Type="Embed" ProgID="Equation.DSMT4" ShapeID="_x0000_i1062" DrawAspect="Content" ObjectID="_1468075764" r:id="rId80">
            <o:LockedField>false</o:LockedField>
          </o:OLEObject>
        </w:object>
      </w:r>
      <w:r>
        <w:rPr>
          <w:sz w:val="24"/>
        </w:rPr>
        <w:t>标准不确定度</w:t>
      </w:r>
      <w:r>
        <w:rPr>
          <w:position w:val="-16"/>
        </w:rPr>
        <w:object>
          <v:shape id="_x0000_i1063" o:spt="75" type="#_x0000_t75" style="height:22.5pt;width:56.25pt;" o:ole="t" filled="f" o:preferrelative="t" stroked="f" coordsize="21600,21600">
            <v:path/>
            <v:fill on="f" focussize="0,0"/>
            <v:stroke on="f" joinstyle="miter"/>
            <v:imagedata r:id="rId83" o:title=""/>
            <o:lock v:ext="edit" aspectratio="t"/>
            <w10:wrap type="none"/>
            <w10:anchorlock/>
          </v:shape>
          <o:OLEObject Type="Embed" ProgID="Equation.DSMT4" ShapeID="_x0000_i1063" DrawAspect="Content" ObjectID="_1468075765" r:id="rId82">
            <o:LockedField>false</o:LockedField>
          </o:OLEObject>
        </w:object>
      </w:r>
      <w:r>
        <w:rPr>
          <w:sz w:val="24"/>
        </w:rPr>
        <w:t>包括标准铂铑10-铂热电偶检定结果引入的不确定度</w:t>
      </w:r>
      <w:r>
        <w:rPr>
          <w:position w:val="-12"/>
        </w:rPr>
        <w:object>
          <v:shape id="_x0000_i1064" o:spt="75" type="#_x0000_t75" style="height:18pt;width:13.5pt;" o:ole="t" filled="f" o:preferrelative="t" stroked="f" coordsize="21600,21600">
            <v:path/>
            <v:fill on="f" focussize="0,0"/>
            <v:stroke on="f" joinstyle="miter"/>
            <v:imagedata r:id="rId85" o:title=""/>
            <o:lock v:ext="edit" aspectratio="t"/>
            <w10:wrap type="none"/>
            <w10:anchorlock/>
          </v:shape>
          <o:OLEObject Type="Embed" ProgID="Equation.DSMT4" ShapeID="_x0000_i1064" DrawAspect="Content" ObjectID="_1468075766" r:id="rId84">
            <o:LockedField>false</o:LockedField>
          </o:OLEObject>
        </w:object>
      </w:r>
      <w:r>
        <w:rPr>
          <w:sz w:val="24"/>
        </w:rPr>
        <w:t>和标准铂铑10-铂热电偶的年稳定性</w:t>
      </w:r>
      <w:r>
        <w:rPr>
          <w:position w:val="-12"/>
        </w:rPr>
        <w:object>
          <v:shape id="_x0000_i1065" o:spt="75" type="#_x0000_t75" style="height:18pt;width:13.5pt;" o:ole="t" filled="f" o:preferrelative="t" stroked="f" coordsize="21600,21600">
            <v:path/>
            <v:fill on="f" focussize="0,0"/>
            <v:stroke on="f" joinstyle="miter"/>
            <v:imagedata r:id="rId87" o:title=""/>
            <o:lock v:ext="edit" aspectratio="t"/>
            <w10:wrap type="none"/>
            <w10:anchorlock/>
          </v:shape>
          <o:OLEObject Type="Embed" ProgID="Equation.DSMT4" ShapeID="_x0000_i1065" DrawAspect="Content" ObjectID="_1468075767" r:id="rId86">
            <o:LockedField>false</o:LockedField>
          </o:OLEObject>
        </w:object>
      </w:r>
      <w:r>
        <w:t>。</w:t>
      </w:r>
    </w:p>
    <w:p w14:paraId="65343EE7">
      <w:pPr>
        <w:spacing w:line="520" w:lineRule="exact"/>
        <w:ind w:firstLine="480" w:firstLineChars="200"/>
        <w:rPr>
          <w:sz w:val="24"/>
        </w:rPr>
      </w:pPr>
      <w:r>
        <w:rPr>
          <w:sz w:val="24"/>
        </w:rPr>
        <w:t>输入量</w:t>
      </w:r>
      <w:r>
        <w:rPr>
          <w:position w:val="-14"/>
        </w:rPr>
        <w:object>
          <v:shape id="_x0000_i1066" o:spt="75" type="#_x0000_t75" style="height:19.5pt;width:31.5pt;" o:ole="t" filled="f" o:preferrelative="t" stroked="f" coordsize="21600,21600">
            <v:path/>
            <v:fill on="f" focussize="0,0"/>
            <v:stroke on="f" joinstyle="miter"/>
            <v:imagedata r:id="rId89" o:title=""/>
            <o:lock v:ext="edit" aspectratio="t"/>
            <w10:wrap type="none"/>
            <w10:anchorlock/>
          </v:shape>
          <o:OLEObject Type="Embed" ProgID="Equation.DSMT4" ShapeID="_x0000_i1066" DrawAspect="Content" ObjectID="_1468075768" r:id="rId88">
            <o:LockedField>false</o:LockedField>
          </o:OLEObject>
        </w:object>
      </w:r>
      <w:r>
        <w:rPr>
          <w:sz w:val="24"/>
        </w:rPr>
        <w:t>引入的标准不确定度</w:t>
      </w:r>
      <w:r>
        <w:rPr>
          <w:position w:val="-16"/>
        </w:rPr>
        <w:object>
          <v:shape id="_x0000_i1067" o:spt="75" type="#_x0000_t75" style="height:22.5pt;width:49.5pt;" o:ole="t" filled="f" o:preferrelative="t" stroked="f" coordsize="21600,21600">
            <v:path/>
            <v:fill on="f" focussize="0,0"/>
            <v:stroke on="f" joinstyle="miter"/>
            <v:imagedata r:id="rId91" o:title=""/>
            <o:lock v:ext="edit" aspectratio="t"/>
            <w10:wrap type="none"/>
            <w10:anchorlock/>
          </v:shape>
          <o:OLEObject Type="Embed" ProgID="Equation.DSMT4" ShapeID="_x0000_i1067" DrawAspect="Content" ObjectID="_1468075769" r:id="rId90">
            <o:LockedField>false</o:LockedField>
          </o:OLEObject>
        </w:object>
      </w:r>
      <w:r>
        <w:rPr>
          <w:sz w:val="24"/>
        </w:rPr>
        <w:t>包括标准铂铑10-铂热电偶重复测量引入的不确定度</w:t>
      </w:r>
      <w:r>
        <w:rPr>
          <w:position w:val="-12"/>
        </w:rPr>
        <w:object>
          <v:shape id="_x0000_i1068" o:spt="75" type="#_x0000_t75" style="height:18pt;width:13.5pt;" o:ole="t" filled="f" o:preferrelative="t" stroked="f" coordsize="21600,21600">
            <v:path/>
            <v:fill on="f" focussize="0,0"/>
            <v:stroke on="f" joinstyle="miter"/>
            <v:imagedata r:id="rId93" o:title=""/>
            <o:lock v:ext="edit" aspectratio="t"/>
            <w10:wrap type="none"/>
            <w10:anchorlock/>
          </v:shape>
          <o:OLEObject Type="Embed" ProgID="Equation.DSMT4" ShapeID="_x0000_i1068" DrawAspect="Content" ObjectID="_1468075770" r:id="rId92">
            <o:LockedField>false</o:LockedField>
          </o:OLEObject>
        </w:object>
      </w:r>
      <w:r>
        <w:rPr>
          <w:sz w:val="24"/>
        </w:rPr>
        <w:t>、电测仪表测量误差引入的不确定度</w:t>
      </w:r>
      <w:r>
        <w:rPr>
          <w:position w:val="-12"/>
        </w:rPr>
        <w:object>
          <v:shape id="_x0000_i1069" o:spt="75" type="#_x0000_t75" style="height:18pt;width:13.5pt;" o:ole="t" filled="f" o:preferrelative="t" stroked="f" coordsize="21600,21600">
            <v:path/>
            <v:fill on="f" focussize="0,0"/>
            <v:stroke on="f" joinstyle="miter"/>
            <v:imagedata r:id="rId95" o:title=""/>
            <o:lock v:ext="edit" aspectratio="t"/>
            <w10:wrap type="none"/>
            <w10:anchorlock/>
          </v:shape>
          <o:OLEObject Type="Embed" ProgID="Equation.DSMT4" ShapeID="_x0000_i1069" DrawAspect="Content" ObjectID="_1468075771" r:id="rId94">
            <o:LockedField>false</o:LockedField>
          </o:OLEObject>
        </w:object>
      </w:r>
      <w:r>
        <w:rPr>
          <w:sz w:val="24"/>
        </w:rPr>
        <w:t>、转换开关读数寄生热电势引入的不确定度</w:t>
      </w:r>
      <w:r>
        <w:rPr>
          <w:position w:val="-12"/>
        </w:rPr>
        <w:object>
          <v:shape id="_x0000_i1070" o:spt="75" type="#_x0000_t75" style="height:18pt;width:13.5pt;" o:ole="t" filled="f" o:preferrelative="t" stroked="f" coordsize="21600,21600">
            <v:path/>
            <v:fill on="f" focussize="0,0"/>
            <v:stroke on="f" joinstyle="miter"/>
            <v:imagedata r:id="rId97" o:title=""/>
            <o:lock v:ext="edit" aspectratio="t"/>
            <w10:wrap type="none"/>
            <w10:anchorlock/>
          </v:shape>
          <o:OLEObject Type="Embed" ProgID="Equation.DSMT4" ShapeID="_x0000_i1070" DrawAspect="Content" ObjectID="_1468075772" r:id="rId96">
            <o:LockedField>false</o:LockedField>
          </o:OLEObject>
        </w:object>
      </w:r>
      <w:r>
        <w:rPr>
          <w:sz w:val="24"/>
        </w:rPr>
        <w:t>和热电偶参考端温度不均匀引入的不确定度</w:t>
      </w:r>
      <w:r>
        <w:rPr>
          <w:position w:val="-12"/>
        </w:rPr>
        <w:object>
          <v:shape id="_x0000_i1071" o:spt="75" type="#_x0000_t75" style="height:18pt;width:16.5pt;" o:ole="t" filled="f" o:preferrelative="t" stroked="f" coordsize="21600,21600">
            <v:path/>
            <v:fill on="f" focussize="0,0"/>
            <v:stroke on="f" joinstyle="miter"/>
            <v:imagedata r:id="rId99" o:title=""/>
            <o:lock v:ext="edit" aspectratio="t"/>
            <w10:wrap type="none"/>
            <w10:anchorlock/>
          </v:shape>
          <o:OLEObject Type="Embed" ProgID="Equation.DSMT4" ShapeID="_x0000_i1071" DrawAspect="Content" ObjectID="_1468075773" r:id="rId98">
            <o:LockedField>false</o:LockedField>
          </o:OLEObject>
        </w:object>
      </w:r>
      <w:r>
        <w:rPr>
          <w:sz w:val="24"/>
        </w:rPr>
        <w:t>。</w:t>
      </w:r>
    </w:p>
    <w:p w14:paraId="205E004F">
      <w:pPr>
        <w:spacing w:line="520" w:lineRule="exact"/>
        <w:ind w:firstLine="480" w:firstLineChars="200"/>
      </w:pPr>
      <w:r>
        <w:rPr>
          <w:sz w:val="24"/>
        </w:rPr>
        <w:t>标准不确定度分量及来源见表 C.2。</w:t>
      </w:r>
    </w:p>
    <w:p w14:paraId="513E88C0">
      <w:pPr>
        <w:spacing w:line="360" w:lineRule="auto"/>
        <w:jc w:val="center"/>
        <w:rPr>
          <w:sz w:val="24"/>
        </w:rPr>
      </w:pPr>
      <w:r>
        <w:rPr>
          <w:rFonts w:eastAsia="黑体"/>
        </w:rPr>
        <w:t>表C.2标准不确定度分量及来源</w:t>
      </w:r>
    </w:p>
    <w:tbl>
      <w:tblPr>
        <w:tblStyle w:val="35"/>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2219"/>
        <w:gridCol w:w="5498"/>
      </w:tblGrid>
      <w:tr w14:paraId="342B3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3" w:type="dxa"/>
            <w:noWrap/>
            <w:vAlign w:val="center"/>
          </w:tcPr>
          <w:p w14:paraId="6711147A">
            <w:pPr>
              <w:widowControl/>
              <w:jc w:val="center"/>
              <w:rPr>
                <w:kern w:val="0"/>
                <w:szCs w:val="21"/>
              </w:rPr>
            </w:pPr>
            <w:r>
              <w:rPr>
                <w:kern w:val="0"/>
                <w:szCs w:val="21"/>
              </w:rPr>
              <w:t>输入量</w:t>
            </w:r>
          </w:p>
        </w:tc>
        <w:tc>
          <w:tcPr>
            <w:tcW w:w="2219" w:type="dxa"/>
            <w:noWrap/>
            <w:vAlign w:val="center"/>
          </w:tcPr>
          <w:p w14:paraId="154B6749">
            <w:pPr>
              <w:widowControl/>
              <w:jc w:val="center"/>
              <w:rPr>
                <w:kern w:val="0"/>
                <w:szCs w:val="21"/>
              </w:rPr>
            </w:pPr>
            <w:r>
              <w:rPr>
                <w:kern w:val="0"/>
                <w:szCs w:val="21"/>
              </w:rPr>
              <w:t>符号</w:t>
            </w:r>
          </w:p>
        </w:tc>
        <w:tc>
          <w:tcPr>
            <w:tcW w:w="5498" w:type="dxa"/>
            <w:noWrap/>
            <w:vAlign w:val="center"/>
          </w:tcPr>
          <w:p w14:paraId="08C622A1">
            <w:pPr>
              <w:widowControl/>
              <w:jc w:val="center"/>
              <w:rPr>
                <w:kern w:val="0"/>
                <w:szCs w:val="21"/>
              </w:rPr>
            </w:pPr>
            <w:r>
              <w:rPr>
                <w:kern w:val="0"/>
                <w:szCs w:val="21"/>
              </w:rPr>
              <w:t>不确定度来源</w:t>
            </w:r>
          </w:p>
        </w:tc>
      </w:tr>
      <w:tr w14:paraId="78BB5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183" w:type="dxa"/>
            <w:vMerge w:val="restart"/>
            <w:noWrap/>
            <w:vAlign w:val="center"/>
          </w:tcPr>
          <w:p w14:paraId="79B9F570">
            <w:pPr>
              <w:widowControl/>
              <w:jc w:val="center"/>
              <w:rPr>
                <w:kern w:val="0"/>
                <w:szCs w:val="21"/>
              </w:rPr>
            </w:pPr>
            <w:r>
              <w:rPr>
                <w:position w:val="-10"/>
                <w:szCs w:val="21"/>
              </w:rPr>
              <w:object>
                <v:shape id="_x0000_i1072" o:spt="75" type="#_x0000_t75" style="height:16.5pt;width:10.5pt;" o:ole="t" filled="f" o:preferrelative="t" stroked="f" coordsize="21600,21600">
                  <v:path/>
                  <v:fill on="f" focussize="0,0"/>
                  <v:stroke on="f" joinstyle="miter"/>
                  <v:imagedata r:id="rId101" o:title=""/>
                  <o:lock v:ext="edit" aspectratio="t"/>
                  <w10:wrap type="none"/>
                  <w10:anchorlock/>
                </v:shape>
                <o:OLEObject Type="Embed" ProgID="Equation.DSMT4" ShapeID="_x0000_i1072" DrawAspect="Content" ObjectID="_1468075774" r:id="rId100">
                  <o:LockedField>false</o:LockedField>
                </o:OLEObject>
              </w:object>
            </w:r>
          </w:p>
        </w:tc>
        <w:tc>
          <w:tcPr>
            <w:tcW w:w="2219" w:type="dxa"/>
            <w:vMerge w:val="restart"/>
            <w:noWrap/>
            <w:vAlign w:val="center"/>
          </w:tcPr>
          <w:p w14:paraId="6E09D3B4">
            <w:pPr>
              <w:widowControl/>
              <w:jc w:val="center"/>
              <w:rPr>
                <w:kern w:val="0"/>
                <w:szCs w:val="21"/>
              </w:rPr>
            </w:pPr>
            <w:r>
              <w:rPr>
                <w:position w:val="-12"/>
                <w:szCs w:val="21"/>
              </w:rPr>
              <w:object>
                <v:shape id="_x0000_i1073" o:spt="75" type="#_x0000_t75" style="height:16.5pt;width:24pt;" o:ole="t" filled="f" o:preferrelative="t" stroked="f" coordsize="21600,21600">
                  <v:path/>
                  <v:fill on="f" focussize="0,0"/>
                  <v:stroke on="f" joinstyle="miter"/>
                  <v:imagedata r:id="rId103" o:title=""/>
                  <o:lock v:ext="edit" aspectratio="t"/>
                  <w10:wrap type="none"/>
                  <w10:anchorlock/>
                </v:shape>
                <o:OLEObject Type="Embed" ProgID="Equation.DSMT4" ShapeID="_x0000_i1073" DrawAspect="Content" ObjectID="_1468075775" r:id="rId102">
                  <o:LockedField>false</o:LockedField>
                </o:OLEObject>
              </w:object>
            </w:r>
          </w:p>
        </w:tc>
        <w:tc>
          <w:tcPr>
            <w:tcW w:w="5498" w:type="dxa"/>
            <w:noWrap/>
            <w:vAlign w:val="center"/>
          </w:tcPr>
          <w:p w14:paraId="0A0B90B6">
            <w:pPr>
              <w:widowControl/>
              <w:jc w:val="left"/>
              <w:rPr>
                <w:kern w:val="0"/>
                <w:szCs w:val="21"/>
              </w:rPr>
            </w:pPr>
            <w:r>
              <w:rPr>
                <w:szCs w:val="21"/>
              </w:rPr>
              <w:t>炉温跟踪仪测量重复性引入的不确定度</w:t>
            </w:r>
            <w:r>
              <w:rPr>
                <w:i/>
                <w:sz w:val="24"/>
                <w:szCs w:val="21"/>
              </w:rPr>
              <w:t>u</w:t>
            </w:r>
            <w:r>
              <w:rPr>
                <w:sz w:val="24"/>
                <w:szCs w:val="21"/>
                <w:vertAlign w:val="subscript"/>
              </w:rPr>
              <w:t>1</w:t>
            </w:r>
          </w:p>
        </w:tc>
      </w:tr>
      <w:tr w14:paraId="61DD8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83" w:type="dxa"/>
            <w:vMerge w:val="continue"/>
            <w:noWrap/>
            <w:vAlign w:val="center"/>
          </w:tcPr>
          <w:p w14:paraId="45A10B45">
            <w:pPr>
              <w:widowControl/>
              <w:jc w:val="center"/>
              <w:rPr>
                <w:szCs w:val="21"/>
              </w:rPr>
            </w:pPr>
          </w:p>
        </w:tc>
        <w:tc>
          <w:tcPr>
            <w:tcW w:w="2219" w:type="dxa"/>
            <w:vMerge w:val="continue"/>
            <w:noWrap/>
            <w:vAlign w:val="center"/>
          </w:tcPr>
          <w:p w14:paraId="4E3A1D9F">
            <w:pPr>
              <w:widowControl/>
              <w:jc w:val="center"/>
              <w:rPr>
                <w:kern w:val="0"/>
                <w:szCs w:val="21"/>
              </w:rPr>
            </w:pPr>
          </w:p>
        </w:tc>
        <w:tc>
          <w:tcPr>
            <w:tcW w:w="5498" w:type="dxa"/>
            <w:noWrap/>
            <w:vAlign w:val="center"/>
          </w:tcPr>
          <w:p w14:paraId="268F4883">
            <w:pPr>
              <w:widowControl/>
              <w:jc w:val="left"/>
              <w:rPr>
                <w:kern w:val="0"/>
                <w:szCs w:val="21"/>
              </w:rPr>
            </w:pPr>
            <w:r>
              <w:rPr>
                <w:szCs w:val="21"/>
              </w:rPr>
              <w:t>炉温跟踪仪分辨力引入的不确定度</w:t>
            </w:r>
            <w:r>
              <w:rPr>
                <w:i/>
                <w:sz w:val="24"/>
                <w:szCs w:val="21"/>
              </w:rPr>
              <w:t>u</w:t>
            </w:r>
            <w:r>
              <w:rPr>
                <w:sz w:val="24"/>
                <w:szCs w:val="21"/>
                <w:vertAlign w:val="subscript"/>
              </w:rPr>
              <w:t>2</w:t>
            </w:r>
          </w:p>
        </w:tc>
      </w:tr>
      <w:tr w14:paraId="0A2F1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83" w:type="dxa"/>
            <w:vMerge w:val="continue"/>
            <w:noWrap/>
            <w:vAlign w:val="center"/>
          </w:tcPr>
          <w:p w14:paraId="0A38F9A9">
            <w:pPr>
              <w:widowControl/>
              <w:jc w:val="center"/>
              <w:rPr>
                <w:szCs w:val="21"/>
              </w:rPr>
            </w:pPr>
          </w:p>
        </w:tc>
        <w:tc>
          <w:tcPr>
            <w:tcW w:w="2219" w:type="dxa"/>
            <w:vMerge w:val="continue"/>
            <w:noWrap/>
            <w:vAlign w:val="center"/>
          </w:tcPr>
          <w:p w14:paraId="46CE7D12">
            <w:pPr>
              <w:widowControl/>
              <w:jc w:val="center"/>
              <w:rPr>
                <w:kern w:val="0"/>
                <w:szCs w:val="21"/>
              </w:rPr>
            </w:pPr>
          </w:p>
        </w:tc>
        <w:tc>
          <w:tcPr>
            <w:tcW w:w="5498" w:type="dxa"/>
            <w:noWrap/>
            <w:vAlign w:val="center"/>
          </w:tcPr>
          <w:p w14:paraId="7AA0E99C">
            <w:pPr>
              <w:widowControl/>
              <w:jc w:val="left"/>
              <w:rPr>
                <w:szCs w:val="21"/>
              </w:rPr>
            </w:pPr>
            <w:r>
              <w:rPr>
                <w:szCs w:val="21"/>
              </w:rPr>
              <w:t>炉内金属均温块径向温场不均匀性引入的不确定度</w:t>
            </w:r>
            <w:r>
              <w:rPr>
                <w:i/>
                <w:sz w:val="24"/>
                <w:szCs w:val="21"/>
              </w:rPr>
              <w:t>u</w:t>
            </w:r>
            <w:r>
              <w:rPr>
                <w:sz w:val="24"/>
                <w:szCs w:val="21"/>
                <w:vertAlign w:val="subscript"/>
              </w:rPr>
              <w:t>3</w:t>
            </w:r>
          </w:p>
        </w:tc>
      </w:tr>
      <w:tr w14:paraId="1E15A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83" w:type="dxa"/>
            <w:vMerge w:val="continue"/>
            <w:noWrap/>
            <w:vAlign w:val="center"/>
          </w:tcPr>
          <w:p w14:paraId="4A8DE246">
            <w:pPr>
              <w:widowControl/>
              <w:jc w:val="center"/>
              <w:rPr>
                <w:szCs w:val="21"/>
              </w:rPr>
            </w:pPr>
          </w:p>
        </w:tc>
        <w:tc>
          <w:tcPr>
            <w:tcW w:w="2219" w:type="dxa"/>
            <w:vMerge w:val="continue"/>
            <w:noWrap/>
            <w:vAlign w:val="center"/>
          </w:tcPr>
          <w:p w14:paraId="402E7E88">
            <w:pPr>
              <w:widowControl/>
              <w:jc w:val="center"/>
              <w:rPr>
                <w:kern w:val="0"/>
                <w:szCs w:val="21"/>
              </w:rPr>
            </w:pPr>
          </w:p>
        </w:tc>
        <w:tc>
          <w:tcPr>
            <w:tcW w:w="5498" w:type="dxa"/>
            <w:noWrap/>
            <w:vAlign w:val="center"/>
          </w:tcPr>
          <w:p w14:paraId="52B8FED9">
            <w:pPr>
              <w:widowControl/>
              <w:jc w:val="left"/>
              <w:rPr>
                <w:szCs w:val="21"/>
              </w:rPr>
            </w:pPr>
            <w:r>
              <w:rPr>
                <w:szCs w:val="21"/>
              </w:rPr>
              <w:t>炉温波动引入的不确定度</w:t>
            </w:r>
            <w:r>
              <w:rPr>
                <w:i/>
                <w:sz w:val="24"/>
                <w:szCs w:val="21"/>
              </w:rPr>
              <w:t>u</w:t>
            </w:r>
            <w:r>
              <w:rPr>
                <w:sz w:val="24"/>
                <w:szCs w:val="21"/>
                <w:vertAlign w:val="subscript"/>
              </w:rPr>
              <w:t>4</w:t>
            </w:r>
          </w:p>
        </w:tc>
      </w:tr>
      <w:tr w14:paraId="1A96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1183" w:type="dxa"/>
            <w:vMerge w:val="restart"/>
            <w:noWrap/>
            <w:vAlign w:val="center"/>
          </w:tcPr>
          <w:p w14:paraId="3F35CDD6">
            <w:pPr>
              <w:widowControl/>
              <w:jc w:val="center"/>
              <w:rPr>
                <w:kern w:val="0"/>
                <w:szCs w:val="21"/>
              </w:rPr>
            </w:pPr>
            <w:r>
              <w:rPr>
                <w:position w:val="-12"/>
              </w:rPr>
              <w:object>
                <v:shape id="_x0000_i1074" o:spt="75" type="#_x0000_t75" style="height:16.5pt;width:34.5pt;" o:ole="t" filled="f" o:preferrelative="t" stroked="f" coordsize="21600,21600">
                  <v:path/>
                  <v:fill on="f" focussize="0,0"/>
                  <v:stroke on="f" joinstyle="miter"/>
                  <v:imagedata r:id="rId105" o:title=""/>
                  <o:lock v:ext="edit" aspectratio="t"/>
                  <w10:wrap type="none"/>
                  <w10:anchorlock/>
                </v:shape>
                <o:OLEObject Type="Embed" ProgID="Equation.DSMT4" ShapeID="_x0000_i1074" DrawAspect="Content" ObjectID="_1468075776" r:id="rId104">
                  <o:LockedField>false</o:LockedField>
                </o:OLEObject>
              </w:object>
            </w:r>
          </w:p>
        </w:tc>
        <w:tc>
          <w:tcPr>
            <w:tcW w:w="2219" w:type="dxa"/>
            <w:vMerge w:val="restart"/>
            <w:vAlign w:val="center"/>
          </w:tcPr>
          <w:p w14:paraId="0E267358">
            <w:pPr>
              <w:widowControl/>
              <w:jc w:val="center"/>
              <w:rPr>
                <w:kern w:val="0"/>
                <w:szCs w:val="21"/>
              </w:rPr>
            </w:pPr>
            <w:r>
              <w:rPr>
                <w:position w:val="-14"/>
              </w:rPr>
              <w:object>
                <v:shape id="_x0000_i1075" o:spt="75" type="#_x0000_t75" style="height:19.5pt;width:49.5pt;" o:ole="t" filled="f" o:preferrelative="t" stroked="f" coordsize="21600,21600">
                  <v:path/>
                  <v:fill on="f" focussize="0,0"/>
                  <v:stroke on="f" joinstyle="miter"/>
                  <v:imagedata r:id="rId107" o:title=""/>
                  <o:lock v:ext="edit" aspectratio="t"/>
                  <w10:wrap type="none"/>
                  <w10:anchorlock/>
                </v:shape>
                <o:OLEObject Type="Embed" ProgID="Equation.DSMT4" ShapeID="_x0000_i1075" DrawAspect="Content" ObjectID="_1468075777" r:id="rId106">
                  <o:LockedField>false</o:LockedField>
                </o:OLEObject>
              </w:object>
            </w:r>
          </w:p>
        </w:tc>
        <w:tc>
          <w:tcPr>
            <w:tcW w:w="5498" w:type="dxa"/>
            <w:noWrap/>
            <w:vAlign w:val="center"/>
          </w:tcPr>
          <w:p w14:paraId="7423C052">
            <w:pPr>
              <w:widowControl/>
              <w:jc w:val="left"/>
              <w:rPr>
                <w:kern w:val="0"/>
                <w:szCs w:val="21"/>
              </w:rPr>
            </w:pPr>
            <w:r>
              <w:rPr>
                <w:szCs w:val="21"/>
              </w:rPr>
              <w:t>标准铂铑10-铂热电偶检定结果引入的不确定度</w:t>
            </w:r>
            <w:r>
              <w:rPr>
                <w:i/>
                <w:sz w:val="24"/>
                <w:szCs w:val="21"/>
              </w:rPr>
              <w:t>u</w:t>
            </w:r>
            <w:r>
              <w:rPr>
                <w:sz w:val="24"/>
                <w:szCs w:val="21"/>
                <w:vertAlign w:val="subscript"/>
              </w:rPr>
              <w:t>5</w:t>
            </w:r>
          </w:p>
        </w:tc>
      </w:tr>
      <w:tr w14:paraId="7A45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3" w:type="dxa"/>
            <w:vMerge w:val="continue"/>
            <w:noWrap/>
            <w:vAlign w:val="center"/>
          </w:tcPr>
          <w:p w14:paraId="080A529C">
            <w:pPr>
              <w:widowControl/>
              <w:jc w:val="center"/>
              <w:rPr>
                <w:kern w:val="0"/>
                <w:szCs w:val="21"/>
              </w:rPr>
            </w:pPr>
          </w:p>
        </w:tc>
        <w:tc>
          <w:tcPr>
            <w:tcW w:w="2219" w:type="dxa"/>
            <w:vMerge w:val="continue"/>
            <w:vAlign w:val="center"/>
          </w:tcPr>
          <w:p w14:paraId="0F0FDAC7">
            <w:pPr>
              <w:widowControl/>
              <w:jc w:val="center"/>
              <w:rPr>
                <w:kern w:val="0"/>
                <w:szCs w:val="21"/>
              </w:rPr>
            </w:pPr>
          </w:p>
        </w:tc>
        <w:tc>
          <w:tcPr>
            <w:tcW w:w="5498" w:type="dxa"/>
            <w:noWrap/>
            <w:vAlign w:val="center"/>
          </w:tcPr>
          <w:p w14:paraId="6E48CF4B">
            <w:pPr>
              <w:widowControl/>
              <w:jc w:val="left"/>
              <w:rPr>
                <w:kern w:val="0"/>
                <w:szCs w:val="21"/>
              </w:rPr>
            </w:pPr>
            <w:r>
              <w:rPr>
                <w:szCs w:val="21"/>
              </w:rPr>
              <w:t>标准铂铑10-铂热电偶的年稳定性</w:t>
            </w:r>
            <w:r>
              <w:rPr>
                <w:i/>
                <w:sz w:val="24"/>
                <w:szCs w:val="21"/>
              </w:rPr>
              <w:t>u</w:t>
            </w:r>
            <w:r>
              <w:rPr>
                <w:sz w:val="24"/>
                <w:szCs w:val="21"/>
                <w:vertAlign w:val="subscript"/>
              </w:rPr>
              <w:t>6</w:t>
            </w:r>
          </w:p>
        </w:tc>
      </w:tr>
      <w:tr w14:paraId="063D3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3" w:type="dxa"/>
            <w:vMerge w:val="restart"/>
            <w:noWrap/>
            <w:vAlign w:val="center"/>
          </w:tcPr>
          <w:p w14:paraId="53F22938">
            <w:pPr>
              <w:widowControl/>
              <w:jc w:val="center"/>
              <w:rPr>
                <w:kern w:val="0"/>
                <w:szCs w:val="21"/>
              </w:rPr>
            </w:pPr>
            <w:r>
              <w:rPr>
                <w:position w:val="-12"/>
              </w:rPr>
              <w:object>
                <v:shape id="_x0000_i1076" o:spt="75" type="#_x0000_t75" style="height:16.5pt;width:28.5pt;" o:ole="t" filled="f" o:preferrelative="t" stroked="f" coordsize="21600,21600">
                  <v:path/>
                  <v:fill on="f" focussize="0,0"/>
                  <v:stroke on="f" joinstyle="miter"/>
                  <v:imagedata r:id="rId109" o:title=""/>
                  <o:lock v:ext="edit" aspectratio="t"/>
                  <w10:wrap type="none"/>
                  <w10:anchorlock/>
                </v:shape>
                <o:OLEObject Type="Embed" ProgID="Equation.DSMT4" ShapeID="_x0000_i1076" DrawAspect="Content" ObjectID="_1468075778" r:id="rId108">
                  <o:LockedField>false</o:LockedField>
                </o:OLEObject>
              </w:object>
            </w:r>
          </w:p>
        </w:tc>
        <w:tc>
          <w:tcPr>
            <w:tcW w:w="2219" w:type="dxa"/>
            <w:vMerge w:val="restart"/>
            <w:vAlign w:val="center"/>
          </w:tcPr>
          <w:p w14:paraId="0C241A32">
            <w:pPr>
              <w:widowControl/>
              <w:jc w:val="center"/>
              <w:rPr>
                <w:kern w:val="0"/>
                <w:szCs w:val="21"/>
              </w:rPr>
            </w:pPr>
            <w:r>
              <w:rPr>
                <w:position w:val="-14"/>
              </w:rPr>
              <w:object>
                <v:shape id="_x0000_i1077" o:spt="75" type="#_x0000_t75" style="height:19.5pt;width:43.5pt;" o:ole="t" filled="f" o:preferrelative="t" stroked="f" coordsize="21600,21600">
                  <v:path/>
                  <v:fill on="f" focussize="0,0"/>
                  <v:stroke on="f" joinstyle="miter"/>
                  <v:imagedata r:id="rId111" o:title=""/>
                  <o:lock v:ext="edit" aspectratio="t"/>
                  <w10:wrap type="none"/>
                  <w10:anchorlock/>
                </v:shape>
                <o:OLEObject Type="Embed" ProgID="Equation.DSMT4" ShapeID="_x0000_i1077" DrawAspect="Content" ObjectID="_1468075779" r:id="rId110">
                  <o:LockedField>false</o:LockedField>
                </o:OLEObject>
              </w:object>
            </w:r>
          </w:p>
        </w:tc>
        <w:tc>
          <w:tcPr>
            <w:tcW w:w="5498" w:type="dxa"/>
            <w:noWrap/>
            <w:vAlign w:val="center"/>
          </w:tcPr>
          <w:p w14:paraId="600DA343">
            <w:pPr>
              <w:widowControl/>
              <w:rPr>
                <w:kern w:val="0"/>
                <w:szCs w:val="21"/>
              </w:rPr>
            </w:pPr>
            <w:r>
              <w:rPr>
                <w:szCs w:val="21"/>
              </w:rPr>
              <w:t>标准铂铑10-铂热电偶重复测量引入的不确定度</w:t>
            </w:r>
            <w:r>
              <w:rPr>
                <w:i/>
                <w:sz w:val="24"/>
                <w:szCs w:val="21"/>
              </w:rPr>
              <w:t>u</w:t>
            </w:r>
            <w:r>
              <w:rPr>
                <w:sz w:val="24"/>
                <w:szCs w:val="21"/>
                <w:vertAlign w:val="subscript"/>
              </w:rPr>
              <w:t>7</w:t>
            </w:r>
          </w:p>
        </w:tc>
      </w:tr>
      <w:tr w14:paraId="41A47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3" w:type="dxa"/>
            <w:vMerge w:val="continue"/>
            <w:noWrap/>
            <w:vAlign w:val="center"/>
          </w:tcPr>
          <w:p w14:paraId="76560B2F">
            <w:pPr>
              <w:widowControl/>
              <w:jc w:val="center"/>
              <w:rPr>
                <w:kern w:val="0"/>
                <w:szCs w:val="21"/>
              </w:rPr>
            </w:pPr>
          </w:p>
        </w:tc>
        <w:tc>
          <w:tcPr>
            <w:tcW w:w="2219" w:type="dxa"/>
            <w:vMerge w:val="continue"/>
            <w:vAlign w:val="center"/>
          </w:tcPr>
          <w:p w14:paraId="5DF7FCCA">
            <w:pPr>
              <w:widowControl/>
              <w:jc w:val="center"/>
              <w:rPr>
                <w:kern w:val="0"/>
                <w:szCs w:val="21"/>
              </w:rPr>
            </w:pPr>
          </w:p>
        </w:tc>
        <w:tc>
          <w:tcPr>
            <w:tcW w:w="5498" w:type="dxa"/>
            <w:noWrap/>
            <w:vAlign w:val="center"/>
          </w:tcPr>
          <w:p w14:paraId="0DA9AED2">
            <w:pPr>
              <w:widowControl/>
              <w:rPr>
                <w:kern w:val="0"/>
                <w:szCs w:val="21"/>
              </w:rPr>
            </w:pPr>
            <w:r>
              <w:rPr>
                <w:szCs w:val="21"/>
              </w:rPr>
              <w:t>电测仪表测量误差引入的不确定度</w:t>
            </w:r>
            <w:r>
              <w:rPr>
                <w:i/>
                <w:sz w:val="24"/>
                <w:szCs w:val="21"/>
              </w:rPr>
              <w:t>u</w:t>
            </w:r>
            <w:r>
              <w:rPr>
                <w:sz w:val="24"/>
                <w:szCs w:val="21"/>
                <w:vertAlign w:val="subscript"/>
              </w:rPr>
              <w:t>8</w:t>
            </w:r>
          </w:p>
        </w:tc>
      </w:tr>
      <w:tr w14:paraId="0A17E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3" w:type="dxa"/>
            <w:vMerge w:val="continue"/>
            <w:noWrap/>
            <w:vAlign w:val="center"/>
          </w:tcPr>
          <w:p w14:paraId="5D2FEC61">
            <w:pPr>
              <w:widowControl/>
              <w:jc w:val="center"/>
              <w:rPr>
                <w:kern w:val="0"/>
                <w:szCs w:val="21"/>
              </w:rPr>
            </w:pPr>
          </w:p>
        </w:tc>
        <w:tc>
          <w:tcPr>
            <w:tcW w:w="2219" w:type="dxa"/>
            <w:vMerge w:val="continue"/>
            <w:vAlign w:val="center"/>
          </w:tcPr>
          <w:p w14:paraId="128C2573">
            <w:pPr>
              <w:widowControl/>
              <w:jc w:val="center"/>
              <w:rPr>
                <w:kern w:val="0"/>
                <w:szCs w:val="21"/>
              </w:rPr>
            </w:pPr>
          </w:p>
        </w:tc>
        <w:tc>
          <w:tcPr>
            <w:tcW w:w="5498" w:type="dxa"/>
            <w:noWrap/>
            <w:vAlign w:val="center"/>
          </w:tcPr>
          <w:p w14:paraId="258568F2">
            <w:pPr>
              <w:widowControl/>
              <w:rPr>
                <w:kern w:val="0"/>
                <w:szCs w:val="21"/>
              </w:rPr>
            </w:pPr>
            <w:r>
              <w:rPr>
                <w:szCs w:val="21"/>
              </w:rPr>
              <w:t>转换开关读数寄生热电势引入的不确定度</w:t>
            </w:r>
            <w:r>
              <w:rPr>
                <w:i/>
                <w:sz w:val="24"/>
                <w:szCs w:val="21"/>
              </w:rPr>
              <w:t>u</w:t>
            </w:r>
            <w:r>
              <w:rPr>
                <w:sz w:val="24"/>
                <w:szCs w:val="21"/>
                <w:vertAlign w:val="subscript"/>
              </w:rPr>
              <w:t>9</w:t>
            </w:r>
          </w:p>
        </w:tc>
      </w:tr>
      <w:tr w14:paraId="480A1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3" w:type="dxa"/>
            <w:vMerge w:val="continue"/>
            <w:noWrap/>
            <w:vAlign w:val="center"/>
          </w:tcPr>
          <w:p w14:paraId="5104183A">
            <w:pPr>
              <w:widowControl/>
              <w:jc w:val="center"/>
              <w:rPr>
                <w:kern w:val="0"/>
                <w:szCs w:val="21"/>
              </w:rPr>
            </w:pPr>
          </w:p>
        </w:tc>
        <w:tc>
          <w:tcPr>
            <w:tcW w:w="2219" w:type="dxa"/>
            <w:vMerge w:val="continue"/>
            <w:vAlign w:val="center"/>
          </w:tcPr>
          <w:p w14:paraId="25223C64">
            <w:pPr>
              <w:widowControl/>
              <w:jc w:val="center"/>
              <w:rPr>
                <w:kern w:val="0"/>
                <w:szCs w:val="21"/>
              </w:rPr>
            </w:pPr>
          </w:p>
        </w:tc>
        <w:tc>
          <w:tcPr>
            <w:tcW w:w="5498" w:type="dxa"/>
            <w:noWrap/>
            <w:vAlign w:val="center"/>
          </w:tcPr>
          <w:p w14:paraId="2D73A192">
            <w:pPr>
              <w:widowControl/>
              <w:rPr>
                <w:kern w:val="0"/>
                <w:szCs w:val="21"/>
              </w:rPr>
            </w:pPr>
            <w:r>
              <w:rPr>
                <w:szCs w:val="21"/>
              </w:rPr>
              <w:t>热电偶参考端温度不均匀引入的不确定度</w:t>
            </w:r>
            <w:r>
              <w:rPr>
                <w:i/>
                <w:sz w:val="24"/>
                <w:szCs w:val="21"/>
              </w:rPr>
              <w:t>u</w:t>
            </w:r>
            <w:r>
              <w:rPr>
                <w:sz w:val="24"/>
                <w:szCs w:val="21"/>
                <w:vertAlign w:val="subscript"/>
              </w:rPr>
              <w:t>10</w:t>
            </w:r>
          </w:p>
        </w:tc>
      </w:tr>
    </w:tbl>
    <w:p w14:paraId="473A5083">
      <w:pPr>
        <w:spacing w:line="360" w:lineRule="auto"/>
        <w:rPr>
          <w:sz w:val="24"/>
          <w:szCs w:val="21"/>
        </w:rPr>
      </w:pPr>
      <w:r>
        <w:rPr>
          <w:sz w:val="24"/>
          <w:szCs w:val="21"/>
        </w:rPr>
        <w:t>C.3.1</w:t>
      </w:r>
      <w:r>
        <w:rPr>
          <w:sz w:val="24"/>
        </w:rPr>
        <w:t>输入量</w:t>
      </w:r>
      <w:r>
        <w:rPr>
          <w:position w:val="-12"/>
        </w:rPr>
        <w:object>
          <v:shape id="_x0000_i1078" o:spt="75" type="#_x0000_t75" style="height:18pt;width:10.5pt;" o:ole="t" filled="f" o:preferrelative="t" stroked="f" coordsize="21600,21600">
            <v:path/>
            <v:fill on="f" focussize="0,0"/>
            <v:stroke on="f" joinstyle="miter"/>
            <v:imagedata r:id="rId16" o:title=""/>
            <o:lock v:ext="edit" aspectratio="t"/>
            <w10:wrap type="none"/>
            <w10:anchorlock/>
          </v:shape>
          <o:OLEObject Type="Embed" ProgID="Equation.DSMT4" ShapeID="_x0000_i1078" DrawAspect="Content" ObjectID="_1468075780" r:id="rId112">
            <o:LockedField>false</o:LockedField>
          </o:OLEObject>
        </w:object>
      </w:r>
      <w:r>
        <w:rPr>
          <w:sz w:val="24"/>
        </w:rPr>
        <w:t>引入的标准不确定度</w:t>
      </w:r>
      <w:r>
        <w:rPr>
          <w:position w:val="-14"/>
          <w:szCs w:val="21"/>
        </w:rPr>
        <w:object>
          <v:shape id="_x0000_i1079" o:spt="75" type="#_x0000_t75" style="height:19.5pt;width:26.25pt;" o:ole="t" filled="f" o:preferrelative="t" stroked="f" coordsize="21600,21600">
            <v:path/>
            <v:fill on="f" focussize="0,0"/>
            <v:stroke on="f" joinstyle="miter"/>
            <v:imagedata r:id="rId71" o:title=""/>
            <o:lock v:ext="edit" aspectratio="t"/>
            <w10:wrap type="none"/>
            <w10:anchorlock/>
          </v:shape>
          <o:OLEObject Type="Embed" ProgID="Equation.DSMT4" ShapeID="_x0000_i1079" DrawAspect="Content" ObjectID="_1468075781" r:id="rId113">
            <o:LockedField>false</o:LockedField>
          </o:OLEObject>
        </w:object>
      </w:r>
    </w:p>
    <w:p w14:paraId="232F7CD2">
      <w:pPr>
        <w:spacing w:line="360" w:lineRule="auto"/>
        <w:rPr>
          <w:sz w:val="24"/>
        </w:rPr>
      </w:pPr>
      <w:r>
        <w:rPr>
          <w:sz w:val="24"/>
          <w:szCs w:val="21"/>
        </w:rPr>
        <w:t>C.3.1.1 炉温跟踪仪测量重复性引入的不确定度</w:t>
      </w:r>
      <w:r>
        <w:rPr>
          <w:i/>
          <w:sz w:val="24"/>
          <w:szCs w:val="21"/>
        </w:rPr>
        <w:t>u</w:t>
      </w:r>
      <w:r>
        <w:rPr>
          <w:sz w:val="24"/>
          <w:szCs w:val="21"/>
          <w:vertAlign w:val="subscript"/>
        </w:rPr>
        <w:t>1</w:t>
      </w:r>
    </w:p>
    <w:p w14:paraId="6FD445D9">
      <w:pPr>
        <w:snapToGrid w:val="0"/>
        <w:spacing w:line="360" w:lineRule="auto"/>
        <w:jc w:val="center"/>
        <w:rPr>
          <w:sz w:val="24"/>
        </w:rPr>
      </w:pPr>
      <w:r>
        <w:rPr>
          <w:rFonts w:eastAsia="黑体"/>
          <w:szCs w:val="20"/>
        </w:rPr>
        <w:t>表C.3重复测量得到被校准数据</w:t>
      </w:r>
    </w:p>
    <w:tbl>
      <w:tblPr>
        <w:tblStyle w:val="35"/>
        <w:tblW w:w="8020" w:type="dxa"/>
        <w:jc w:val="center"/>
        <w:tblLayout w:type="autofit"/>
        <w:tblCellMar>
          <w:top w:w="0" w:type="dxa"/>
          <w:left w:w="108" w:type="dxa"/>
          <w:bottom w:w="0" w:type="dxa"/>
          <w:right w:w="108" w:type="dxa"/>
        </w:tblCellMar>
      </w:tblPr>
      <w:tblGrid>
        <w:gridCol w:w="1130"/>
        <w:gridCol w:w="689"/>
        <w:gridCol w:w="689"/>
        <w:gridCol w:w="689"/>
        <w:gridCol w:w="689"/>
        <w:gridCol w:w="689"/>
        <w:gridCol w:w="689"/>
        <w:gridCol w:w="689"/>
        <w:gridCol w:w="689"/>
        <w:gridCol w:w="689"/>
        <w:gridCol w:w="689"/>
      </w:tblGrid>
      <w:tr w14:paraId="3F5FE466">
        <w:tblPrEx>
          <w:tblCellMar>
            <w:top w:w="0" w:type="dxa"/>
            <w:left w:w="108" w:type="dxa"/>
            <w:bottom w:w="0" w:type="dxa"/>
            <w:right w:w="108" w:type="dxa"/>
          </w:tblCellMar>
        </w:tblPrEx>
        <w:trPr>
          <w:trHeight w:val="337" w:hRule="atLeast"/>
          <w:jc w:val="center"/>
        </w:trPr>
        <w:tc>
          <w:tcPr>
            <w:tcW w:w="1130" w:type="dxa"/>
            <w:tcBorders>
              <w:top w:val="single" w:color="auto" w:sz="4" w:space="0"/>
              <w:left w:val="single" w:color="auto" w:sz="4" w:space="0"/>
              <w:bottom w:val="single" w:color="auto" w:sz="4" w:space="0"/>
              <w:right w:val="single" w:color="auto" w:sz="4" w:space="0"/>
            </w:tcBorders>
            <w:noWrap/>
            <w:vAlign w:val="center"/>
          </w:tcPr>
          <w:p w14:paraId="3D889390">
            <w:pPr>
              <w:widowControl/>
              <w:spacing w:line="276" w:lineRule="auto"/>
              <w:jc w:val="center"/>
              <w:rPr>
                <w:kern w:val="0"/>
                <w:szCs w:val="21"/>
              </w:rPr>
            </w:pPr>
            <w:r>
              <w:rPr>
                <w:kern w:val="0"/>
                <w:szCs w:val="21"/>
              </w:rPr>
              <w:t>序号（</w:t>
            </w:r>
            <w:r>
              <w:rPr>
                <w:i/>
                <w:kern w:val="0"/>
                <w:szCs w:val="21"/>
              </w:rPr>
              <w:t>n</w:t>
            </w:r>
            <w:r>
              <w:rPr>
                <w:kern w:val="0"/>
                <w:szCs w:val="21"/>
              </w:rPr>
              <w:t>）</w:t>
            </w:r>
          </w:p>
        </w:tc>
        <w:tc>
          <w:tcPr>
            <w:tcW w:w="689" w:type="dxa"/>
            <w:tcBorders>
              <w:top w:val="single" w:color="auto" w:sz="4" w:space="0"/>
              <w:left w:val="nil"/>
              <w:bottom w:val="single" w:color="auto" w:sz="4" w:space="0"/>
              <w:right w:val="single" w:color="auto" w:sz="4" w:space="0"/>
            </w:tcBorders>
            <w:noWrap/>
            <w:vAlign w:val="center"/>
          </w:tcPr>
          <w:p w14:paraId="3B91CD5C">
            <w:pPr>
              <w:widowControl/>
              <w:spacing w:line="276" w:lineRule="auto"/>
              <w:jc w:val="center"/>
              <w:rPr>
                <w:kern w:val="0"/>
                <w:szCs w:val="21"/>
              </w:rPr>
            </w:pPr>
            <w:r>
              <w:rPr>
                <w:kern w:val="0"/>
                <w:szCs w:val="21"/>
              </w:rPr>
              <w:t>1</w:t>
            </w:r>
          </w:p>
        </w:tc>
        <w:tc>
          <w:tcPr>
            <w:tcW w:w="689" w:type="dxa"/>
            <w:tcBorders>
              <w:top w:val="single" w:color="auto" w:sz="4" w:space="0"/>
              <w:left w:val="nil"/>
              <w:bottom w:val="single" w:color="auto" w:sz="4" w:space="0"/>
              <w:right w:val="single" w:color="auto" w:sz="4" w:space="0"/>
            </w:tcBorders>
            <w:noWrap/>
            <w:vAlign w:val="center"/>
          </w:tcPr>
          <w:p w14:paraId="6380184A">
            <w:pPr>
              <w:widowControl/>
              <w:spacing w:line="276" w:lineRule="auto"/>
              <w:jc w:val="center"/>
              <w:rPr>
                <w:kern w:val="0"/>
                <w:szCs w:val="21"/>
              </w:rPr>
            </w:pPr>
            <w:r>
              <w:rPr>
                <w:kern w:val="0"/>
                <w:szCs w:val="21"/>
              </w:rPr>
              <w:t>2</w:t>
            </w:r>
          </w:p>
        </w:tc>
        <w:tc>
          <w:tcPr>
            <w:tcW w:w="689" w:type="dxa"/>
            <w:tcBorders>
              <w:top w:val="single" w:color="auto" w:sz="4" w:space="0"/>
              <w:left w:val="nil"/>
              <w:bottom w:val="single" w:color="auto" w:sz="4" w:space="0"/>
              <w:right w:val="single" w:color="auto" w:sz="4" w:space="0"/>
            </w:tcBorders>
            <w:noWrap/>
            <w:vAlign w:val="center"/>
          </w:tcPr>
          <w:p w14:paraId="4430AEDE">
            <w:pPr>
              <w:widowControl/>
              <w:spacing w:line="276" w:lineRule="auto"/>
              <w:jc w:val="center"/>
              <w:rPr>
                <w:kern w:val="0"/>
                <w:szCs w:val="21"/>
              </w:rPr>
            </w:pPr>
            <w:r>
              <w:rPr>
                <w:kern w:val="0"/>
                <w:szCs w:val="21"/>
              </w:rPr>
              <w:t>3</w:t>
            </w:r>
          </w:p>
        </w:tc>
        <w:tc>
          <w:tcPr>
            <w:tcW w:w="689" w:type="dxa"/>
            <w:tcBorders>
              <w:top w:val="single" w:color="auto" w:sz="4" w:space="0"/>
              <w:left w:val="nil"/>
              <w:bottom w:val="single" w:color="auto" w:sz="4" w:space="0"/>
              <w:right w:val="single" w:color="auto" w:sz="4" w:space="0"/>
            </w:tcBorders>
            <w:noWrap/>
            <w:vAlign w:val="center"/>
          </w:tcPr>
          <w:p w14:paraId="1AB14847">
            <w:pPr>
              <w:widowControl/>
              <w:spacing w:line="276" w:lineRule="auto"/>
              <w:jc w:val="center"/>
              <w:rPr>
                <w:kern w:val="0"/>
                <w:szCs w:val="21"/>
              </w:rPr>
            </w:pPr>
            <w:r>
              <w:rPr>
                <w:kern w:val="0"/>
                <w:szCs w:val="21"/>
              </w:rPr>
              <w:t>4</w:t>
            </w:r>
          </w:p>
        </w:tc>
        <w:tc>
          <w:tcPr>
            <w:tcW w:w="689" w:type="dxa"/>
            <w:tcBorders>
              <w:top w:val="single" w:color="auto" w:sz="4" w:space="0"/>
              <w:left w:val="nil"/>
              <w:bottom w:val="single" w:color="auto" w:sz="4" w:space="0"/>
              <w:right w:val="single" w:color="auto" w:sz="4" w:space="0"/>
            </w:tcBorders>
            <w:noWrap/>
            <w:vAlign w:val="center"/>
          </w:tcPr>
          <w:p w14:paraId="1E2E862A">
            <w:pPr>
              <w:widowControl/>
              <w:spacing w:line="276" w:lineRule="auto"/>
              <w:jc w:val="center"/>
              <w:rPr>
                <w:kern w:val="0"/>
                <w:szCs w:val="21"/>
              </w:rPr>
            </w:pPr>
            <w:r>
              <w:rPr>
                <w:kern w:val="0"/>
                <w:szCs w:val="21"/>
              </w:rPr>
              <w:t>5</w:t>
            </w:r>
          </w:p>
        </w:tc>
        <w:tc>
          <w:tcPr>
            <w:tcW w:w="689" w:type="dxa"/>
            <w:tcBorders>
              <w:top w:val="single" w:color="auto" w:sz="4" w:space="0"/>
              <w:left w:val="nil"/>
              <w:bottom w:val="single" w:color="auto" w:sz="4" w:space="0"/>
              <w:right w:val="single" w:color="auto" w:sz="4" w:space="0"/>
            </w:tcBorders>
            <w:noWrap/>
            <w:vAlign w:val="center"/>
          </w:tcPr>
          <w:p w14:paraId="79DDBFD6">
            <w:pPr>
              <w:widowControl/>
              <w:spacing w:line="276" w:lineRule="auto"/>
              <w:jc w:val="center"/>
              <w:rPr>
                <w:kern w:val="0"/>
                <w:szCs w:val="21"/>
              </w:rPr>
            </w:pPr>
            <w:r>
              <w:rPr>
                <w:kern w:val="0"/>
                <w:szCs w:val="21"/>
              </w:rPr>
              <w:t>6</w:t>
            </w:r>
          </w:p>
        </w:tc>
        <w:tc>
          <w:tcPr>
            <w:tcW w:w="689" w:type="dxa"/>
            <w:tcBorders>
              <w:top w:val="single" w:color="auto" w:sz="4" w:space="0"/>
              <w:left w:val="nil"/>
              <w:bottom w:val="single" w:color="auto" w:sz="4" w:space="0"/>
              <w:right w:val="single" w:color="auto" w:sz="4" w:space="0"/>
            </w:tcBorders>
            <w:noWrap/>
            <w:vAlign w:val="center"/>
          </w:tcPr>
          <w:p w14:paraId="4B1578FE">
            <w:pPr>
              <w:widowControl/>
              <w:spacing w:line="276" w:lineRule="auto"/>
              <w:jc w:val="center"/>
              <w:rPr>
                <w:kern w:val="0"/>
                <w:szCs w:val="21"/>
              </w:rPr>
            </w:pPr>
            <w:r>
              <w:rPr>
                <w:kern w:val="0"/>
                <w:szCs w:val="21"/>
              </w:rPr>
              <w:t>7</w:t>
            </w:r>
          </w:p>
        </w:tc>
        <w:tc>
          <w:tcPr>
            <w:tcW w:w="689" w:type="dxa"/>
            <w:tcBorders>
              <w:top w:val="single" w:color="auto" w:sz="4" w:space="0"/>
              <w:left w:val="nil"/>
              <w:bottom w:val="single" w:color="auto" w:sz="4" w:space="0"/>
              <w:right w:val="single" w:color="auto" w:sz="4" w:space="0"/>
            </w:tcBorders>
            <w:noWrap/>
            <w:vAlign w:val="center"/>
          </w:tcPr>
          <w:p w14:paraId="11CF72AE">
            <w:pPr>
              <w:widowControl/>
              <w:spacing w:line="276" w:lineRule="auto"/>
              <w:jc w:val="center"/>
              <w:rPr>
                <w:kern w:val="0"/>
                <w:szCs w:val="21"/>
              </w:rPr>
            </w:pPr>
            <w:r>
              <w:rPr>
                <w:kern w:val="0"/>
                <w:szCs w:val="21"/>
              </w:rPr>
              <w:t>8</w:t>
            </w:r>
          </w:p>
        </w:tc>
        <w:tc>
          <w:tcPr>
            <w:tcW w:w="689" w:type="dxa"/>
            <w:tcBorders>
              <w:top w:val="single" w:color="auto" w:sz="4" w:space="0"/>
              <w:left w:val="nil"/>
              <w:bottom w:val="single" w:color="auto" w:sz="4" w:space="0"/>
              <w:right w:val="single" w:color="auto" w:sz="4" w:space="0"/>
            </w:tcBorders>
            <w:noWrap/>
            <w:vAlign w:val="center"/>
          </w:tcPr>
          <w:p w14:paraId="5E6F3ED9">
            <w:pPr>
              <w:widowControl/>
              <w:spacing w:line="276" w:lineRule="auto"/>
              <w:jc w:val="center"/>
              <w:rPr>
                <w:kern w:val="0"/>
                <w:szCs w:val="21"/>
              </w:rPr>
            </w:pPr>
            <w:r>
              <w:rPr>
                <w:kern w:val="0"/>
                <w:szCs w:val="21"/>
              </w:rPr>
              <w:t>9</w:t>
            </w:r>
          </w:p>
        </w:tc>
        <w:tc>
          <w:tcPr>
            <w:tcW w:w="689" w:type="dxa"/>
            <w:tcBorders>
              <w:top w:val="single" w:color="auto" w:sz="4" w:space="0"/>
              <w:left w:val="nil"/>
              <w:bottom w:val="single" w:color="auto" w:sz="4" w:space="0"/>
              <w:right w:val="single" w:color="auto" w:sz="4" w:space="0"/>
            </w:tcBorders>
            <w:noWrap/>
            <w:vAlign w:val="center"/>
          </w:tcPr>
          <w:p w14:paraId="6CCAE92A">
            <w:pPr>
              <w:widowControl/>
              <w:spacing w:line="276" w:lineRule="auto"/>
              <w:jc w:val="center"/>
              <w:rPr>
                <w:kern w:val="0"/>
                <w:szCs w:val="21"/>
              </w:rPr>
            </w:pPr>
            <w:r>
              <w:rPr>
                <w:kern w:val="0"/>
                <w:szCs w:val="21"/>
              </w:rPr>
              <w:t>10</w:t>
            </w:r>
          </w:p>
        </w:tc>
      </w:tr>
      <w:tr w14:paraId="0D9F5737">
        <w:tblPrEx>
          <w:tblCellMar>
            <w:top w:w="0" w:type="dxa"/>
            <w:left w:w="108" w:type="dxa"/>
            <w:bottom w:w="0" w:type="dxa"/>
            <w:right w:w="108" w:type="dxa"/>
          </w:tblCellMar>
        </w:tblPrEx>
        <w:trPr>
          <w:trHeight w:val="274" w:hRule="atLeast"/>
          <w:jc w:val="center"/>
        </w:trPr>
        <w:tc>
          <w:tcPr>
            <w:tcW w:w="1130" w:type="dxa"/>
            <w:tcBorders>
              <w:top w:val="nil"/>
              <w:left w:val="single" w:color="auto" w:sz="4" w:space="0"/>
              <w:bottom w:val="single" w:color="auto" w:sz="4" w:space="0"/>
              <w:right w:val="single" w:color="auto" w:sz="4" w:space="0"/>
            </w:tcBorders>
            <w:noWrap/>
            <w:vAlign w:val="center"/>
          </w:tcPr>
          <w:p w14:paraId="5CC9E582">
            <w:pPr>
              <w:widowControl/>
              <w:spacing w:line="276" w:lineRule="auto"/>
              <w:jc w:val="center"/>
              <w:rPr>
                <w:kern w:val="0"/>
                <w:szCs w:val="21"/>
              </w:rPr>
            </w:pPr>
            <w:r>
              <w:rPr>
                <w:kern w:val="0"/>
                <w:szCs w:val="21"/>
              </w:rPr>
              <w:t>温度（℃）</w:t>
            </w:r>
          </w:p>
        </w:tc>
        <w:tc>
          <w:tcPr>
            <w:tcW w:w="689" w:type="dxa"/>
            <w:tcBorders>
              <w:top w:val="nil"/>
              <w:left w:val="nil"/>
              <w:bottom w:val="single" w:color="auto" w:sz="4" w:space="0"/>
              <w:right w:val="single" w:color="auto" w:sz="4" w:space="0"/>
            </w:tcBorders>
            <w:noWrap/>
            <w:vAlign w:val="center"/>
          </w:tcPr>
          <w:p w14:paraId="48769EDE">
            <w:pPr>
              <w:widowControl/>
              <w:jc w:val="center"/>
              <w:rPr>
                <w:kern w:val="0"/>
                <w:szCs w:val="21"/>
              </w:rPr>
            </w:pPr>
            <w:r>
              <w:rPr>
                <w:kern w:val="0"/>
                <w:szCs w:val="21"/>
              </w:rPr>
              <w:t>999.8</w:t>
            </w:r>
          </w:p>
        </w:tc>
        <w:tc>
          <w:tcPr>
            <w:tcW w:w="689" w:type="dxa"/>
            <w:tcBorders>
              <w:top w:val="nil"/>
              <w:left w:val="nil"/>
              <w:bottom w:val="single" w:color="auto" w:sz="4" w:space="0"/>
              <w:right w:val="single" w:color="auto" w:sz="4" w:space="0"/>
            </w:tcBorders>
            <w:noWrap/>
            <w:vAlign w:val="center"/>
          </w:tcPr>
          <w:p w14:paraId="09B9810B">
            <w:pPr>
              <w:widowControl/>
              <w:jc w:val="center"/>
              <w:rPr>
                <w:kern w:val="0"/>
                <w:szCs w:val="21"/>
              </w:rPr>
            </w:pPr>
            <w:r>
              <w:rPr>
                <w:kern w:val="0"/>
                <w:szCs w:val="21"/>
              </w:rPr>
              <w:t>999.7</w:t>
            </w:r>
          </w:p>
        </w:tc>
        <w:tc>
          <w:tcPr>
            <w:tcW w:w="689" w:type="dxa"/>
            <w:tcBorders>
              <w:top w:val="nil"/>
              <w:left w:val="nil"/>
              <w:bottom w:val="single" w:color="auto" w:sz="4" w:space="0"/>
              <w:right w:val="single" w:color="auto" w:sz="4" w:space="0"/>
            </w:tcBorders>
            <w:noWrap/>
            <w:vAlign w:val="center"/>
          </w:tcPr>
          <w:p w14:paraId="2C984708">
            <w:pPr>
              <w:widowControl/>
              <w:jc w:val="center"/>
              <w:rPr>
                <w:kern w:val="0"/>
                <w:szCs w:val="21"/>
              </w:rPr>
            </w:pPr>
            <w:r>
              <w:rPr>
                <w:kern w:val="0"/>
                <w:szCs w:val="21"/>
              </w:rPr>
              <w:t>999.5</w:t>
            </w:r>
          </w:p>
        </w:tc>
        <w:tc>
          <w:tcPr>
            <w:tcW w:w="689" w:type="dxa"/>
            <w:tcBorders>
              <w:top w:val="nil"/>
              <w:left w:val="nil"/>
              <w:bottom w:val="single" w:color="auto" w:sz="4" w:space="0"/>
              <w:right w:val="single" w:color="auto" w:sz="4" w:space="0"/>
            </w:tcBorders>
            <w:noWrap/>
            <w:vAlign w:val="center"/>
          </w:tcPr>
          <w:p w14:paraId="68E9D50C">
            <w:pPr>
              <w:widowControl/>
              <w:jc w:val="center"/>
              <w:rPr>
                <w:kern w:val="0"/>
                <w:szCs w:val="21"/>
              </w:rPr>
            </w:pPr>
            <w:r>
              <w:rPr>
                <w:kern w:val="0"/>
                <w:szCs w:val="21"/>
              </w:rPr>
              <w:t>999.3</w:t>
            </w:r>
          </w:p>
        </w:tc>
        <w:tc>
          <w:tcPr>
            <w:tcW w:w="689" w:type="dxa"/>
            <w:tcBorders>
              <w:top w:val="nil"/>
              <w:left w:val="nil"/>
              <w:bottom w:val="single" w:color="auto" w:sz="4" w:space="0"/>
              <w:right w:val="single" w:color="auto" w:sz="4" w:space="0"/>
            </w:tcBorders>
            <w:noWrap/>
            <w:vAlign w:val="center"/>
          </w:tcPr>
          <w:p w14:paraId="6D9F10B6">
            <w:pPr>
              <w:widowControl/>
              <w:jc w:val="center"/>
              <w:rPr>
                <w:kern w:val="0"/>
                <w:szCs w:val="21"/>
              </w:rPr>
            </w:pPr>
            <w:r>
              <w:rPr>
                <w:kern w:val="0"/>
                <w:szCs w:val="21"/>
              </w:rPr>
              <w:t>999.7</w:t>
            </w:r>
          </w:p>
        </w:tc>
        <w:tc>
          <w:tcPr>
            <w:tcW w:w="689" w:type="dxa"/>
            <w:tcBorders>
              <w:top w:val="nil"/>
              <w:left w:val="nil"/>
              <w:bottom w:val="single" w:color="auto" w:sz="4" w:space="0"/>
              <w:right w:val="single" w:color="auto" w:sz="4" w:space="0"/>
            </w:tcBorders>
            <w:noWrap/>
            <w:vAlign w:val="center"/>
          </w:tcPr>
          <w:p w14:paraId="0A5110C7">
            <w:pPr>
              <w:widowControl/>
              <w:jc w:val="center"/>
              <w:rPr>
                <w:kern w:val="0"/>
                <w:szCs w:val="21"/>
              </w:rPr>
            </w:pPr>
            <w:r>
              <w:rPr>
                <w:kern w:val="0"/>
                <w:szCs w:val="21"/>
              </w:rPr>
              <w:t>999.4</w:t>
            </w:r>
          </w:p>
        </w:tc>
        <w:tc>
          <w:tcPr>
            <w:tcW w:w="689" w:type="dxa"/>
            <w:tcBorders>
              <w:top w:val="nil"/>
              <w:left w:val="nil"/>
              <w:bottom w:val="single" w:color="auto" w:sz="4" w:space="0"/>
              <w:right w:val="single" w:color="auto" w:sz="4" w:space="0"/>
            </w:tcBorders>
            <w:noWrap/>
            <w:vAlign w:val="center"/>
          </w:tcPr>
          <w:p w14:paraId="62FD631B">
            <w:pPr>
              <w:widowControl/>
              <w:jc w:val="center"/>
              <w:rPr>
                <w:kern w:val="0"/>
                <w:szCs w:val="21"/>
              </w:rPr>
            </w:pPr>
            <w:r>
              <w:rPr>
                <w:kern w:val="0"/>
                <w:szCs w:val="21"/>
              </w:rPr>
              <w:t>999.5</w:t>
            </w:r>
          </w:p>
        </w:tc>
        <w:tc>
          <w:tcPr>
            <w:tcW w:w="689" w:type="dxa"/>
            <w:tcBorders>
              <w:top w:val="nil"/>
              <w:left w:val="nil"/>
              <w:bottom w:val="single" w:color="auto" w:sz="4" w:space="0"/>
              <w:right w:val="single" w:color="auto" w:sz="4" w:space="0"/>
            </w:tcBorders>
            <w:noWrap/>
            <w:vAlign w:val="center"/>
          </w:tcPr>
          <w:p w14:paraId="2DCFE138">
            <w:pPr>
              <w:widowControl/>
              <w:jc w:val="center"/>
              <w:rPr>
                <w:kern w:val="0"/>
                <w:szCs w:val="21"/>
              </w:rPr>
            </w:pPr>
            <w:r>
              <w:rPr>
                <w:kern w:val="0"/>
                <w:szCs w:val="21"/>
              </w:rPr>
              <w:t>999.2</w:t>
            </w:r>
          </w:p>
        </w:tc>
        <w:tc>
          <w:tcPr>
            <w:tcW w:w="689" w:type="dxa"/>
            <w:tcBorders>
              <w:top w:val="nil"/>
              <w:left w:val="nil"/>
              <w:bottom w:val="single" w:color="auto" w:sz="4" w:space="0"/>
              <w:right w:val="single" w:color="auto" w:sz="4" w:space="0"/>
            </w:tcBorders>
            <w:noWrap/>
            <w:vAlign w:val="center"/>
          </w:tcPr>
          <w:p w14:paraId="1AFFF617">
            <w:pPr>
              <w:widowControl/>
              <w:jc w:val="center"/>
              <w:rPr>
                <w:kern w:val="0"/>
                <w:szCs w:val="21"/>
              </w:rPr>
            </w:pPr>
            <w:r>
              <w:rPr>
                <w:kern w:val="0"/>
                <w:szCs w:val="21"/>
              </w:rPr>
              <w:t>999.7</w:t>
            </w:r>
          </w:p>
        </w:tc>
        <w:tc>
          <w:tcPr>
            <w:tcW w:w="689" w:type="dxa"/>
            <w:tcBorders>
              <w:top w:val="nil"/>
              <w:left w:val="nil"/>
              <w:bottom w:val="single" w:color="auto" w:sz="4" w:space="0"/>
              <w:right w:val="single" w:color="auto" w:sz="4" w:space="0"/>
            </w:tcBorders>
            <w:noWrap/>
            <w:vAlign w:val="center"/>
          </w:tcPr>
          <w:p w14:paraId="6890948A">
            <w:pPr>
              <w:widowControl/>
              <w:jc w:val="center"/>
              <w:rPr>
                <w:kern w:val="0"/>
                <w:szCs w:val="21"/>
              </w:rPr>
            </w:pPr>
            <w:r>
              <w:rPr>
                <w:kern w:val="0"/>
                <w:szCs w:val="21"/>
              </w:rPr>
              <w:t>999.2</w:t>
            </w:r>
          </w:p>
        </w:tc>
      </w:tr>
    </w:tbl>
    <w:p w14:paraId="34E18DBB">
      <w:pPr>
        <w:spacing w:line="360" w:lineRule="auto"/>
        <w:ind w:firstLine="480" w:firstLineChars="200"/>
        <w:rPr>
          <w:sz w:val="24"/>
        </w:rPr>
      </w:pPr>
      <w:r>
        <w:rPr>
          <w:sz w:val="24"/>
        </w:rPr>
        <w:t>标准偏差</w:t>
      </w:r>
      <w:r>
        <w:rPr>
          <w:position w:val="-6"/>
          <w:sz w:val="24"/>
        </w:rPr>
        <w:pict>
          <v:shape id="_x0000_i1080" o:spt="75" type="#_x0000_t75" style="height:10.5pt;width:9pt;" filled="f" o:preferrelative="t" stroked="f" coordsize="21600,21600">
            <v:path/>
            <v:fill on="f" focussize="0,0"/>
            <v:stroke on="f" joinstyle="miter"/>
            <v:imagedata r:id="rId114" o:title=""/>
            <o:lock v:ext="edit" aspectratio="t"/>
            <w10:wrap type="none"/>
            <w10:anchorlock/>
          </v:shape>
        </w:pict>
      </w:r>
      <w:r>
        <w:rPr>
          <w:sz w:val="24"/>
        </w:rPr>
        <w:t>的公式如下：</w:t>
      </w:r>
    </w:p>
    <w:p w14:paraId="4C0713FA">
      <w:pPr>
        <w:spacing w:line="300" w:lineRule="auto"/>
        <w:ind w:right="25" w:rightChars="12"/>
        <w:jc w:val="center"/>
        <w:rPr>
          <w:sz w:val="24"/>
          <w:szCs w:val="21"/>
        </w:rPr>
      </w:pPr>
      <w:r>
        <w:rPr>
          <w:rFonts w:hint="eastAsia"/>
          <w:position w:val="-26"/>
          <w:sz w:val="24"/>
        </w:rPr>
        <w:t xml:space="preserve">                      </w:t>
      </w:r>
      <w:r>
        <w:rPr>
          <w:position w:val="-26"/>
          <w:sz w:val="24"/>
        </w:rPr>
        <w:pict>
          <v:shape id="_x0000_i1081" o:spt="75" type="#_x0000_t75" style="height:52.5pt;width:86.25pt;" filled="f" o:preferrelative="t" stroked="f" coordsize="21600,21600">
            <v:path/>
            <v:fill on="f" focussize="0,0"/>
            <v:stroke on="f" joinstyle="miter"/>
            <v:imagedata r:id="rId115" o:title=""/>
            <o:lock v:ext="edit" aspectratio="t"/>
            <w10:wrap type="none"/>
            <w10:anchorlock/>
          </v:shape>
        </w:pict>
      </w:r>
      <w:r>
        <w:rPr>
          <w:rFonts w:hint="eastAsia"/>
          <w:position w:val="-26"/>
          <w:sz w:val="24"/>
        </w:rPr>
        <w:t xml:space="preserve">                      </w:t>
      </w:r>
      <w:r>
        <w:rPr>
          <w:sz w:val="24"/>
          <w:szCs w:val="21"/>
        </w:rPr>
        <w:t>(C.3)</w:t>
      </w:r>
    </w:p>
    <w:p w14:paraId="46963DE1">
      <w:pPr>
        <w:spacing w:line="360" w:lineRule="auto"/>
        <w:ind w:firstLine="480" w:firstLineChars="200"/>
        <w:rPr>
          <w:sz w:val="24"/>
        </w:rPr>
      </w:pPr>
      <w:r>
        <w:rPr>
          <w:sz w:val="24"/>
        </w:rPr>
        <w:t>则由测量重复性引入的标准不确定度分量：</w:t>
      </w:r>
    </w:p>
    <w:p w14:paraId="0CD0B556">
      <w:pPr>
        <w:spacing w:line="360" w:lineRule="auto"/>
        <w:ind w:firstLine="480" w:firstLineChars="200"/>
        <w:jc w:val="center"/>
        <w:rPr>
          <w:sz w:val="24"/>
        </w:rPr>
      </w:pPr>
      <w:r>
        <w:rPr>
          <w:i/>
          <w:sz w:val="24"/>
        </w:rPr>
        <w:t>u</w:t>
      </w:r>
      <w:r>
        <w:rPr>
          <w:sz w:val="24"/>
          <w:vertAlign w:val="subscript"/>
        </w:rPr>
        <w:t>1</w:t>
      </w:r>
      <w:r>
        <w:rPr>
          <w:sz w:val="24"/>
        </w:rPr>
        <w:t xml:space="preserve"> =</w:t>
      </w:r>
      <w:r>
        <w:rPr>
          <w:position w:val="-6"/>
          <w:sz w:val="24"/>
        </w:rPr>
        <w:object>
          <v:shape id="_x0000_i1082" o:spt="75" type="#_x0000_t75" style="height:16.5pt;width:33pt;" o:ole="t" filled="f" o:preferrelative="t" stroked="f" coordsize="21600,21600">
            <v:path/>
            <v:fill on="f" focussize="0,0"/>
            <v:stroke on="f" joinstyle="miter"/>
            <v:imagedata r:id="rId117" o:title=""/>
            <o:lock v:ext="edit" aspectratio="t"/>
            <w10:wrap type="none"/>
            <w10:anchorlock/>
          </v:shape>
          <o:OLEObject Type="Embed" ProgID="Equation.DSMT4" ShapeID="_x0000_i1082" DrawAspect="Content" ObjectID="_1468075782" r:id="rId116">
            <o:LockedField>false</o:LockedField>
          </o:OLEObject>
        </w:object>
      </w:r>
      <w:r>
        <w:rPr>
          <w:sz w:val="24"/>
        </w:rPr>
        <w:t>= 0.11℃</w:t>
      </w:r>
    </w:p>
    <w:p w14:paraId="3DC95A7E">
      <w:pPr>
        <w:spacing w:line="360" w:lineRule="auto"/>
        <w:rPr>
          <w:sz w:val="24"/>
        </w:rPr>
      </w:pPr>
      <w:r>
        <w:rPr>
          <w:sz w:val="24"/>
          <w:szCs w:val="21"/>
        </w:rPr>
        <w:t>C.3.1.2 炉温跟踪仪分辨力引入的不确定度</w:t>
      </w:r>
      <w:r>
        <w:rPr>
          <w:i/>
          <w:sz w:val="24"/>
          <w:szCs w:val="21"/>
        </w:rPr>
        <w:t>u</w:t>
      </w:r>
      <w:r>
        <w:rPr>
          <w:sz w:val="24"/>
          <w:szCs w:val="21"/>
          <w:vertAlign w:val="subscript"/>
        </w:rPr>
        <w:t>2</w:t>
      </w:r>
    </w:p>
    <w:p w14:paraId="70A15ABA">
      <w:pPr>
        <w:spacing w:line="360" w:lineRule="auto"/>
        <w:ind w:firstLine="480" w:firstLineChars="200"/>
        <w:rPr>
          <w:sz w:val="24"/>
        </w:rPr>
      </w:pPr>
      <w:r>
        <w:rPr>
          <w:sz w:val="24"/>
        </w:rPr>
        <w:t>炉温跟踪仪的分辨力为0.1℃，则半区间宽度为0.05℃，按均匀分布，可得：</w:t>
      </w:r>
    </w:p>
    <w:p w14:paraId="7922924B">
      <w:pPr>
        <w:spacing w:line="360" w:lineRule="auto"/>
        <w:jc w:val="center"/>
        <w:rPr>
          <w:sz w:val="24"/>
        </w:rPr>
      </w:pPr>
      <w:r>
        <w:rPr>
          <w:position w:val="-12"/>
        </w:rPr>
        <w:object>
          <v:shape id="_x0000_i1083" o:spt="75" type="#_x0000_t75" style="height:19.5pt;width:76.5pt;" o:ole="t" filled="f" o:preferrelative="t" stroked="f" coordsize="21600,21600">
            <v:path/>
            <v:fill on="f" focussize="0,0"/>
            <v:stroke on="f" joinstyle="miter"/>
            <v:imagedata r:id="rId119" o:title=""/>
            <o:lock v:ext="edit" aspectratio="t"/>
            <w10:wrap type="none"/>
            <w10:anchorlock/>
          </v:shape>
          <o:OLEObject Type="Embed" ProgID="Equation.DSMT4" ShapeID="_x0000_i1083" DrawAspect="Content" ObjectID="_1468075783" r:id="rId118">
            <o:LockedField>false</o:LockedField>
          </o:OLEObject>
        </w:object>
      </w:r>
      <w:r>
        <w:rPr>
          <w:sz w:val="24"/>
        </w:rPr>
        <w:t>0.029℃</w:t>
      </w:r>
    </w:p>
    <w:p w14:paraId="3E5349D9">
      <w:pPr>
        <w:spacing w:line="360" w:lineRule="auto"/>
        <w:rPr>
          <w:sz w:val="24"/>
        </w:rPr>
      </w:pPr>
      <w:r>
        <w:rPr>
          <w:sz w:val="24"/>
          <w:szCs w:val="21"/>
        </w:rPr>
        <w:t>C.3.1.3 炉内金属均温块径向温场不均匀性引入的不确定度</w:t>
      </w:r>
      <w:r>
        <w:rPr>
          <w:i/>
          <w:sz w:val="24"/>
          <w:szCs w:val="21"/>
        </w:rPr>
        <w:t>u</w:t>
      </w:r>
      <w:r>
        <w:rPr>
          <w:sz w:val="24"/>
          <w:szCs w:val="21"/>
          <w:vertAlign w:val="subscript"/>
        </w:rPr>
        <w:t>3</w:t>
      </w:r>
    </w:p>
    <w:p w14:paraId="1C44D463">
      <w:pPr>
        <w:spacing w:line="360" w:lineRule="auto"/>
        <w:ind w:firstLine="480" w:firstLineChars="200"/>
        <w:rPr>
          <w:sz w:val="24"/>
        </w:rPr>
      </w:pPr>
      <w:r>
        <w:rPr>
          <w:sz w:val="24"/>
        </w:rPr>
        <w:t>校准时，由于炉内放置的均温块径向温场不均匀，经测试约为0.21℃，取区间半宽为0.105℃，按均匀分布，则：</w:t>
      </w:r>
    </w:p>
    <w:p w14:paraId="1794A98B">
      <w:pPr>
        <w:spacing w:line="360" w:lineRule="auto"/>
        <w:jc w:val="center"/>
        <w:rPr>
          <w:sz w:val="24"/>
        </w:rPr>
      </w:pPr>
      <w:r>
        <w:rPr>
          <w:position w:val="-12"/>
        </w:rPr>
        <w:object>
          <v:shape id="_x0000_i1084" o:spt="75" type="#_x0000_t75" style="height:19.5pt;width:82.5pt;" o:ole="t" filled="f" o:preferrelative="t" stroked="f" coordsize="21600,21600">
            <v:path/>
            <v:fill on="f" focussize="0,0"/>
            <v:stroke on="f" joinstyle="miter"/>
            <v:imagedata r:id="rId121" o:title=""/>
            <o:lock v:ext="edit" aspectratio="t"/>
            <w10:wrap type="none"/>
            <w10:anchorlock/>
          </v:shape>
          <o:OLEObject Type="Embed" ProgID="Equation.DSMT4" ShapeID="_x0000_i1084" DrawAspect="Content" ObjectID="_1468075784" r:id="rId120">
            <o:LockedField>false</o:LockedField>
          </o:OLEObject>
        </w:object>
      </w:r>
      <w:r>
        <w:rPr>
          <w:sz w:val="24"/>
        </w:rPr>
        <w:t>0.061℃</w:t>
      </w:r>
    </w:p>
    <w:p w14:paraId="3D38E93A">
      <w:pPr>
        <w:spacing w:line="360" w:lineRule="auto"/>
        <w:rPr>
          <w:sz w:val="24"/>
        </w:rPr>
      </w:pPr>
      <w:r>
        <w:rPr>
          <w:sz w:val="24"/>
          <w:szCs w:val="21"/>
        </w:rPr>
        <w:t>C.3.1.4 炉温波动引入的不确定度</w:t>
      </w:r>
      <w:r>
        <w:rPr>
          <w:i/>
          <w:sz w:val="24"/>
          <w:szCs w:val="21"/>
        </w:rPr>
        <w:t>u</w:t>
      </w:r>
      <w:r>
        <w:rPr>
          <w:sz w:val="24"/>
          <w:szCs w:val="21"/>
          <w:vertAlign w:val="subscript"/>
        </w:rPr>
        <w:t>3</w:t>
      </w:r>
    </w:p>
    <w:p w14:paraId="4B582498">
      <w:pPr>
        <w:spacing w:line="360" w:lineRule="auto"/>
        <w:ind w:firstLine="480" w:firstLineChars="200"/>
        <w:rPr>
          <w:sz w:val="24"/>
        </w:rPr>
      </w:pPr>
      <w:r>
        <w:rPr>
          <w:sz w:val="24"/>
        </w:rPr>
        <w:t>每一组独立测量时，由于标准热电偶测得温场实际变化不超过2.0μV，以微分热电势11.54μV/℃计算，相当于0.173℃，取区间半宽为0.087℃，按照均匀分布考虑，则：</w:t>
      </w:r>
    </w:p>
    <w:p w14:paraId="0F80C2D9">
      <w:pPr>
        <w:spacing w:line="360" w:lineRule="auto"/>
        <w:jc w:val="center"/>
        <w:rPr>
          <w:sz w:val="24"/>
        </w:rPr>
      </w:pPr>
      <w:r>
        <w:rPr>
          <w:position w:val="-12"/>
        </w:rPr>
        <w:object>
          <v:shape id="_x0000_i1085" o:spt="75" type="#_x0000_t75" style="height:19.5pt;width:82.5pt;" o:ole="t" filled="f" o:preferrelative="t" stroked="f" coordsize="21600,21600">
            <v:path/>
            <v:fill on="f" focussize="0,0"/>
            <v:stroke on="f" joinstyle="miter"/>
            <v:imagedata r:id="rId123" o:title=""/>
            <o:lock v:ext="edit" aspectratio="t"/>
            <w10:wrap type="none"/>
            <w10:anchorlock/>
          </v:shape>
          <o:OLEObject Type="Embed" ProgID="Equation.DSMT4" ShapeID="_x0000_i1085" DrawAspect="Content" ObjectID="_1468075785" r:id="rId122">
            <o:LockedField>false</o:LockedField>
          </o:OLEObject>
        </w:object>
      </w:r>
      <w:r>
        <w:rPr>
          <w:sz w:val="24"/>
        </w:rPr>
        <w:t>0.050℃</w:t>
      </w:r>
    </w:p>
    <w:p w14:paraId="59BFBA53">
      <w:pPr>
        <w:spacing w:line="360" w:lineRule="auto"/>
        <w:ind w:firstLine="480" w:firstLineChars="200"/>
        <w:rPr>
          <w:sz w:val="24"/>
        </w:rPr>
      </w:pPr>
      <w:r>
        <w:rPr>
          <w:sz w:val="24"/>
        </w:rPr>
        <w:t>因此，输入量</w:t>
      </w:r>
      <w:r>
        <w:rPr>
          <w:position w:val="-12"/>
        </w:rPr>
        <w:object>
          <v:shape id="_x0000_i1086" o:spt="75" type="#_x0000_t75" style="height:18pt;width:10.5pt;" o:ole="t" filled="f" o:preferrelative="t" stroked="f" coordsize="21600,21600">
            <v:path/>
            <v:fill on="f" focussize="0,0"/>
            <v:stroke on="f" joinstyle="miter"/>
            <v:imagedata r:id="rId16" o:title=""/>
            <o:lock v:ext="edit" aspectratio="t"/>
            <w10:wrap type="none"/>
            <w10:anchorlock/>
          </v:shape>
          <o:OLEObject Type="Embed" ProgID="Equation.DSMT4" ShapeID="_x0000_i1086" DrawAspect="Content" ObjectID="_1468075786" r:id="rId124">
            <o:LockedField>false</o:LockedField>
          </o:OLEObject>
        </w:object>
      </w:r>
      <w:r>
        <w:rPr>
          <w:sz w:val="24"/>
        </w:rPr>
        <w:t>引入的标准不确定度</w:t>
      </w:r>
      <w:r>
        <w:rPr>
          <w:position w:val="-14"/>
          <w:szCs w:val="21"/>
        </w:rPr>
        <w:object>
          <v:shape id="_x0000_i1087" o:spt="75" type="#_x0000_t75" style="height:19.5pt;width:26.25pt;" o:ole="t" filled="f" o:preferrelative="t" stroked="f" coordsize="21600,21600">
            <v:path/>
            <v:fill on="f" focussize="0,0"/>
            <v:stroke on="f" joinstyle="miter"/>
            <v:imagedata r:id="rId71" o:title=""/>
            <o:lock v:ext="edit" aspectratio="t"/>
            <w10:wrap type="none"/>
            <w10:anchorlock/>
          </v:shape>
          <o:OLEObject Type="Embed" ProgID="Equation.DSMT4" ShapeID="_x0000_i1087" DrawAspect="Content" ObjectID="_1468075787" r:id="rId125">
            <o:LockedField>false</o:LockedField>
          </o:OLEObject>
        </w:object>
      </w:r>
      <w:r>
        <w:rPr>
          <w:sz w:val="24"/>
          <w:szCs w:val="21"/>
        </w:rPr>
        <w:t>的合成为：</w:t>
      </w:r>
    </w:p>
    <w:p w14:paraId="2B5BE489">
      <w:pPr>
        <w:spacing w:line="360" w:lineRule="auto"/>
        <w:jc w:val="center"/>
        <w:rPr>
          <w:sz w:val="24"/>
        </w:rPr>
      </w:pPr>
      <w:r>
        <w:rPr>
          <w:position w:val="-14"/>
        </w:rPr>
        <w:object>
          <v:shape id="_x0000_i1088" o:spt="75" type="#_x0000_t75" style="height:22.5pt;width:135.75pt;" o:ole="t" filled="f" o:preferrelative="t" stroked="f" coordsize="21600,21600">
            <v:path/>
            <v:fill on="f" focussize="0,0"/>
            <v:stroke on="f" joinstyle="miter"/>
            <v:imagedata r:id="rId127" o:title=""/>
            <o:lock v:ext="edit" aspectratio="t"/>
            <w10:wrap type="none"/>
            <w10:anchorlock/>
          </v:shape>
          <o:OLEObject Type="Embed" ProgID="Equation.DSMT4" ShapeID="_x0000_i1088" DrawAspect="Content" ObjectID="_1468075788" r:id="rId126">
            <o:LockedField>false</o:LockedField>
          </o:OLEObject>
        </w:object>
      </w:r>
      <w:r>
        <w:rPr>
          <w:sz w:val="24"/>
        </w:rPr>
        <w:t>0.24℃</w:t>
      </w:r>
    </w:p>
    <w:p w14:paraId="7F5B2233">
      <w:pPr>
        <w:spacing w:line="360" w:lineRule="auto"/>
        <w:rPr>
          <w:sz w:val="24"/>
          <w:szCs w:val="21"/>
        </w:rPr>
      </w:pPr>
      <w:r>
        <w:rPr>
          <w:sz w:val="24"/>
          <w:szCs w:val="21"/>
        </w:rPr>
        <w:t>C.3.2</w:t>
      </w:r>
      <w:r>
        <w:rPr>
          <w:sz w:val="24"/>
        </w:rPr>
        <w:t>输入量</w:t>
      </w:r>
      <w:r>
        <w:rPr>
          <w:position w:val="-14"/>
        </w:rPr>
        <w:object>
          <v:shape id="_x0000_i1089" o:spt="75" type="#_x0000_t75" style="height:19.5pt;width:37.5pt;" o:ole="t" filled="f" o:preferrelative="t" stroked="f" coordsize="21600,21600">
            <v:path/>
            <v:fill on="f" focussize="0,0"/>
            <v:stroke on="f" joinstyle="miter"/>
            <v:imagedata r:id="rId81" o:title=""/>
            <o:lock v:ext="edit" aspectratio="t"/>
            <w10:wrap type="none"/>
            <w10:anchorlock/>
          </v:shape>
          <o:OLEObject Type="Embed" ProgID="Equation.DSMT4" ShapeID="_x0000_i1089" DrawAspect="Content" ObjectID="_1468075789" r:id="rId128">
            <o:LockedField>false</o:LockedField>
          </o:OLEObject>
        </w:object>
      </w:r>
      <w:r>
        <w:rPr>
          <w:sz w:val="24"/>
          <w:szCs w:val="21"/>
        </w:rPr>
        <w:t>引入的</w:t>
      </w:r>
      <w:r>
        <w:rPr>
          <w:sz w:val="24"/>
        </w:rPr>
        <w:t>标准不确定度</w:t>
      </w:r>
      <w:r>
        <w:rPr>
          <w:position w:val="-16"/>
        </w:rPr>
        <w:object>
          <v:shape id="_x0000_i1090" o:spt="75" type="#_x0000_t75" style="height:22.5pt;width:56.25pt;" o:ole="t" filled="f" o:preferrelative="t" stroked="f" coordsize="21600,21600">
            <v:path/>
            <v:fill on="f" focussize="0,0"/>
            <v:stroke on="f" joinstyle="miter"/>
            <v:imagedata r:id="rId83" o:title=""/>
            <o:lock v:ext="edit" aspectratio="t"/>
            <w10:wrap type="none"/>
            <w10:anchorlock/>
          </v:shape>
          <o:OLEObject Type="Embed" ProgID="Equation.DSMT4" ShapeID="_x0000_i1090" DrawAspect="Content" ObjectID="_1468075790" r:id="rId129">
            <o:LockedField>false</o:LockedField>
          </o:OLEObject>
        </w:object>
      </w:r>
    </w:p>
    <w:p w14:paraId="663BF4D6">
      <w:pPr>
        <w:spacing w:line="360" w:lineRule="auto"/>
        <w:rPr>
          <w:sz w:val="24"/>
        </w:rPr>
      </w:pPr>
      <w:r>
        <w:rPr>
          <w:sz w:val="24"/>
          <w:szCs w:val="21"/>
        </w:rPr>
        <w:t>C.3.2.1标准铂铑10-铂热电偶检定结果引入的不确定度</w:t>
      </w:r>
      <w:r>
        <w:rPr>
          <w:i/>
          <w:sz w:val="24"/>
          <w:szCs w:val="21"/>
        </w:rPr>
        <w:t>u</w:t>
      </w:r>
      <w:r>
        <w:rPr>
          <w:sz w:val="24"/>
          <w:szCs w:val="21"/>
          <w:vertAlign w:val="subscript"/>
        </w:rPr>
        <w:t>5</w:t>
      </w:r>
    </w:p>
    <w:p w14:paraId="252CAEC1">
      <w:pPr>
        <w:spacing w:line="360" w:lineRule="auto"/>
        <w:ind w:firstLine="480" w:firstLineChars="200"/>
        <w:rPr>
          <w:sz w:val="24"/>
        </w:rPr>
      </w:pPr>
      <w:r>
        <w:rPr>
          <w:sz w:val="24"/>
        </w:rPr>
        <w:t>根据量传系统，标准铂铑10-铂热电偶扩展不确定度为0.5℃，约5.77 μV，</w:t>
      </w:r>
      <w:r>
        <w:rPr>
          <w:i/>
          <w:sz w:val="24"/>
        </w:rPr>
        <w:t>k</w:t>
      </w:r>
      <w:r>
        <w:rPr>
          <w:sz w:val="24"/>
        </w:rPr>
        <w:t>=2，则：</w:t>
      </w:r>
    </w:p>
    <w:p w14:paraId="3E38E300">
      <w:pPr>
        <w:spacing w:line="360" w:lineRule="auto"/>
        <w:jc w:val="center"/>
        <w:rPr>
          <w:sz w:val="24"/>
        </w:rPr>
      </w:pPr>
      <w:r>
        <w:rPr>
          <w:position w:val="-12"/>
        </w:rPr>
        <w:object>
          <v:shape id="_x0000_i1091" o:spt="75" type="#_x0000_t75" style="height:18pt;width:67.5pt;" o:ole="t" filled="f" o:preferrelative="t" stroked="f" coordsize="21600,21600">
            <v:path/>
            <v:fill on="f" focussize="0,0"/>
            <v:stroke on="f" joinstyle="miter"/>
            <v:imagedata r:id="rId131" o:title=""/>
            <o:lock v:ext="edit" aspectratio="t"/>
            <w10:wrap type="none"/>
            <w10:anchorlock/>
          </v:shape>
          <o:OLEObject Type="Embed" ProgID="Equation.DSMT4" ShapeID="_x0000_i1091" DrawAspect="Content" ObjectID="_1468075791" r:id="rId130">
            <o:LockedField>false</o:LockedField>
          </o:OLEObject>
        </w:object>
      </w:r>
      <w:r>
        <w:rPr>
          <w:sz w:val="24"/>
        </w:rPr>
        <w:t>2.885 μV</w:t>
      </w:r>
    </w:p>
    <w:p w14:paraId="27695C61">
      <w:pPr>
        <w:spacing w:line="360" w:lineRule="auto"/>
        <w:rPr>
          <w:sz w:val="24"/>
        </w:rPr>
      </w:pPr>
      <w:r>
        <w:rPr>
          <w:sz w:val="24"/>
          <w:szCs w:val="21"/>
        </w:rPr>
        <w:t>C.3.2.2标准铂铑10-铂热电偶的年稳定性</w:t>
      </w:r>
      <w:r>
        <w:rPr>
          <w:i/>
          <w:sz w:val="24"/>
          <w:szCs w:val="21"/>
        </w:rPr>
        <w:t>u</w:t>
      </w:r>
      <w:r>
        <w:rPr>
          <w:sz w:val="24"/>
          <w:szCs w:val="21"/>
          <w:vertAlign w:val="subscript"/>
        </w:rPr>
        <w:t>6</w:t>
      </w:r>
    </w:p>
    <w:p w14:paraId="1009C5DD">
      <w:pPr>
        <w:spacing w:line="360" w:lineRule="auto"/>
        <w:ind w:firstLine="480" w:firstLineChars="200"/>
        <w:rPr>
          <w:sz w:val="24"/>
        </w:rPr>
      </w:pPr>
      <w:r>
        <w:rPr>
          <w:sz w:val="24"/>
        </w:rPr>
        <w:t>标准铂铑10-铂热电偶在检定周期或校准间隔内热电动势变化一般不超过±5μV服从正态分布，则：</w:t>
      </w:r>
    </w:p>
    <w:p w14:paraId="61F873D8">
      <w:pPr>
        <w:spacing w:line="360" w:lineRule="auto"/>
        <w:jc w:val="center"/>
        <w:rPr>
          <w:sz w:val="24"/>
        </w:rPr>
      </w:pPr>
      <w:r>
        <w:rPr>
          <w:position w:val="-12"/>
        </w:rPr>
        <w:object>
          <v:shape id="_x0000_i1092" o:spt="75" type="#_x0000_t75" style="height:18pt;width:50.25pt;" o:ole="t" filled="f" o:preferrelative="t" stroked="f" coordsize="21600,21600">
            <v:path/>
            <v:fill on="f" focussize="0,0"/>
            <v:stroke on="f" joinstyle="miter"/>
            <v:imagedata r:id="rId133" o:title=""/>
            <o:lock v:ext="edit" aspectratio="t"/>
            <w10:wrap type="none"/>
            <w10:anchorlock/>
          </v:shape>
          <o:OLEObject Type="Embed" ProgID="Equation.DSMT4" ShapeID="_x0000_i1092" DrawAspect="Content" ObjectID="_1468075792" r:id="rId132">
            <o:LockedField>false</o:LockedField>
          </o:OLEObject>
        </w:object>
      </w:r>
      <w:r>
        <w:rPr>
          <w:sz w:val="24"/>
        </w:rPr>
        <w:t>1.667 μV</w:t>
      </w:r>
    </w:p>
    <w:p w14:paraId="13810707">
      <w:pPr>
        <w:spacing w:line="360" w:lineRule="auto"/>
        <w:ind w:firstLine="480" w:firstLineChars="200"/>
        <w:rPr>
          <w:sz w:val="24"/>
        </w:rPr>
      </w:pPr>
      <w:r>
        <w:rPr>
          <w:sz w:val="24"/>
        </w:rPr>
        <w:t>因此，输入量</w:t>
      </w:r>
      <w:r>
        <w:rPr>
          <w:position w:val="-14"/>
        </w:rPr>
        <w:object>
          <v:shape id="_x0000_i1093" o:spt="75" type="#_x0000_t75" style="height:19.5pt;width:37.5pt;" o:ole="t" filled="f" o:preferrelative="t" stroked="f" coordsize="21600,21600">
            <v:path/>
            <v:fill on="f" focussize="0,0"/>
            <v:stroke on="f" joinstyle="miter"/>
            <v:imagedata r:id="rId81" o:title=""/>
            <o:lock v:ext="edit" aspectratio="t"/>
            <w10:wrap type="none"/>
            <w10:anchorlock/>
          </v:shape>
          <o:OLEObject Type="Embed" ProgID="Equation.DSMT4" ShapeID="_x0000_i1093" DrawAspect="Content" ObjectID="_1468075793" r:id="rId134">
            <o:LockedField>false</o:LockedField>
          </o:OLEObject>
        </w:object>
      </w:r>
      <w:r>
        <w:rPr>
          <w:sz w:val="24"/>
        </w:rPr>
        <w:t>引入的标准不确定度</w:t>
      </w:r>
      <w:r>
        <w:rPr>
          <w:position w:val="-16"/>
        </w:rPr>
        <w:object>
          <v:shape id="_x0000_i1094" o:spt="75" type="#_x0000_t75" style="height:22.5pt;width:56.25pt;" o:ole="t" filled="f" o:preferrelative="t" stroked="f" coordsize="21600,21600">
            <v:path/>
            <v:fill on="f" focussize="0,0"/>
            <v:stroke on="f" joinstyle="miter"/>
            <v:imagedata r:id="rId83" o:title=""/>
            <o:lock v:ext="edit" aspectratio="t"/>
            <w10:wrap type="none"/>
            <w10:anchorlock/>
          </v:shape>
          <o:OLEObject Type="Embed" ProgID="Equation.DSMT4" ShapeID="_x0000_i1094" DrawAspect="Content" ObjectID="_1468075794" r:id="rId135">
            <o:LockedField>false</o:LockedField>
          </o:OLEObject>
        </w:object>
      </w:r>
      <w:r>
        <w:rPr>
          <w:sz w:val="24"/>
          <w:szCs w:val="21"/>
        </w:rPr>
        <w:t>的合成为：</w:t>
      </w:r>
    </w:p>
    <w:p w14:paraId="57F75E0D">
      <w:pPr>
        <w:spacing w:line="360" w:lineRule="auto"/>
        <w:jc w:val="center"/>
        <w:rPr>
          <w:sz w:val="24"/>
        </w:rPr>
      </w:pPr>
      <w:r>
        <w:rPr>
          <w:position w:val="-16"/>
        </w:rPr>
        <w:object>
          <v:shape id="_x0000_i1095" o:spt="75" type="#_x0000_t75" style="height:24pt;width:120pt;" o:ole="t" filled="f" o:preferrelative="t" stroked="f" coordsize="21600,21600">
            <v:path/>
            <v:fill on="f" focussize="0,0"/>
            <v:stroke on="f" joinstyle="miter"/>
            <v:imagedata r:id="rId137" o:title=""/>
            <o:lock v:ext="edit" aspectratio="t"/>
            <w10:wrap type="none"/>
            <w10:anchorlock/>
          </v:shape>
          <o:OLEObject Type="Embed" ProgID="Equation.DSMT4" ShapeID="_x0000_i1095" DrawAspect="Content" ObjectID="_1468075795" r:id="rId136">
            <o:LockedField>false</o:LockedField>
          </o:OLEObject>
        </w:object>
      </w:r>
      <w:r>
        <w:rPr>
          <w:sz w:val="24"/>
        </w:rPr>
        <w:t>3.332 μV</w:t>
      </w:r>
    </w:p>
    <w:p w14:paraId="47DFEFA4">
      <w:pPr>
        <w:spacing w:line="360" w:lineRule="auto"/>
        <w:rPr>
          <w:sz w:val="24"/>
          <w:szCs w:val="21"/>
        </w:rPr>
      </w:pPr>
      <w:r>
        <w:rPr>
          <w:sz w:val="24"/>
          <w:szCs w:val="21"/>
        </w:rPr>
        <w:t xml:space="preserve">C.3.3 </w:t>
      </w:r>
      <w:r>
        <w:rPr>
          <w:sz w:val="24"/>
        </w:rPr>
        <w:t>输入量</w:t>
      </w:r>
      <w:r>
        <w:rPr>
          <w:position w:val="-14"/>
        </w:rPr>
        <w:object>
          <v:shape id="_x0000_i1096" o:spt="75" type="#_x0000_t75" style="height:19.5pt;width:31.5pt;" o:ole="t" filled="f" o:preferrelative="t" stroked="f" coordsize="21600,21600">
            <v:path/>
            <v:fill on="f" focussize="0,0"/>
            <v:stroke on="f" joinstyle="miter"/>
            <v:imagedata r:id="rId89" o:title=""/>
            <o:lock v:ext="edit" aspectratio="t"/>
            <w10:wrap type="none"/>
            <w10:anchorlock/>
          </v:shape>
          <o:OLEObject Type="Embed" ProgID="Equation.DSMT4" ShapeID="_x0000_i1096" DrawAspect="Content" ObjectID="_1468075796" r:id="rId138">
            <o:LockedField>false</o:LockedField>
          </o:OLEObject>
        </w:object>
      </w:r>
      <w:r>
        <w:rPr>
          <w:sz w:val="24"/>
        </w:rPr>
        <w:t>引入的标准不确定度</w:t>
      </w:r>
      <w:r>
        <w:rPr>
          <w:position w:val="-16"/>
        </w:rPr>
        <w:object>
          <v:shape id="_x0000_i1097" o:spt="75" type="#_x0000_t75" style="height:22.5pt;width:49.5pt;" o:ole="t" filled="f" o:preferrelative="t" stroked="f" coordsize="21600,21600">
            <v:path/>
            <v:fill on="f" focussize="0,0"/>
            <v:stroke on="f" joinstyle="miter"/>
            <v:imagedata r:id="rId91" o:title=""/>
            <o:lock v:ext="edit" aspectratio="t"/>
            <w10:wrap type="none"/>
            <w10:anchorlock/>
          </v:shape>
          <o:OLEObject Type="Embed" ProgID="Equation.DSMT4" ShapeID="_x0000_i1097" DrawAspect="Content" ObjectID="_1468075797" r:id="rId139">
            <o:LockedField>false</o:LockedField>
          </o:OLEObject>
        </w:object>
      </w:r>
    </w:p>
    <w:p w14:paraId="74F93506">
      <w:pPr>
        <w:spacing w:line="360" w:lineRule="auto"/>
        <w:rPr>
          <w:sz w:val="24"/>
        </w:rPr>
      </w:pPr>
      <w:r>
        <w:rPr>
          <w:sz w:val="24"/>
          <w:szCs w:val="21"/>
        </w:rPr>
        <w:t>C.3.3.1 标准铂铑10-铂热电偶重复测量引入的不确定度</w:t>
      </w:r>
      <w:r>
        <w:rPr>
          <w:i/>
          <w:sz w:val="24"/>
          <w:szCs w:val="21"/>
        </w:rPr>
        <w:t>u</w:t>
      </w:r>
      <w:r>
        <w:rPr>
          <w:sz w:val="24"/>
          <w:szCs w:val="21"/>
          <w:vertAlign w:val="subscript"/>
        </w:rPr>
        <w:t>7</w:t>
      </w:r>
    </w:p>
    <w:p w14:paraId="17742E34">
      <w:pPr>
        <w:snapToGrid w:val="0"/>
        <w:spacing w:line="360" w:lineRule="auto"/>
        <w:jc w:val="center"/>
        <w:rPr>
          <w:sz w:val="24"/>
        </w:rPr>
      </w:pPr>
      <w:r>
        <w:rPr>
          <w:rFonts w:eastAsia="黑体"/>
          <w:szCs w:val="20"/>
        </w:rPr>
        <w:t>表C.4重复测量得到标准铂铑10-铂热电偶数据</w:t>
      </w:r>
    </w:p>
    <w:tbl>
      <w:tblPr>
        <w:tblStyle w:val="35"/>
        <w:tblW w:w="8020" w:type="dxa"/>
        <w:jc w:val="center"/>
        <w:tblLayout w:type="autofit"/>
        <w:tblCellMar>
          <w:top w:w="0" w:type="dxa"/>
          <w:left w:w="108" w:type="dxa"/>
          <w:bottom w:w="0" w:type="dxa"/>
          <w:right w:w="108" w:type="dxa"/>
        </w:tblCellMar>
      </w:tblPr>
      <w:tblGrid>
        <w:gridCol w:w="1130"/>
        <w:gridCol w:w="766"/>
        <w:gridCol w:w="766"/>
        <w:gridCol w:w="766"/>
        <w:gridCol w:w="766"/>
        <w:gridCol w:w="766"/>
        <w:gridCol w:w="766"/>
        <w:gridCol w:w="766"/>
        <w:gridCol w:w="766"/>
        <w:gridCol w:w="766"/>
        <w:gridCol w:w="766"/>
      </w:tblGrid>
      <w:tr w14:paraId="2BA5B219">
        <w:tblPrEx>
          <w:tblCellMar>
            <w:top w:w="0" w:type="dxa"/>
            <w:left w:w="108" w:type="dxa"/>
            <w:bottom w:w="0" w:type="dxa"/>
            <w:right w:w="108" w:type="dxa"/>
          </w:tblCellMar>
        </w:tblPrEx>
        <w:trPr>
          <w:trHeight w:val="337" w:hRule="atLeast"/>
          <w:jc w:val="center"/>
        </w:trPr>
        <w:tc>
          <w:tcPr>
            <w:tcW w:w="1130" w:type="dxa"/>
            <w:tcBorders>
              <w:top w:val="single" w:color="auto" w:sz="4" w:space="0"/>
              <w:left w:val="single" w:color="auto" w:sz="4" w:space="0"/>
              <w:bottom w:val="single" w:color="auto" w:sz="4" w:space="0"/>
              <w:right w:val="single" w:color="auto" w:sz="4" w:space="0"/>
            </w:tcBorders>
            <w:noWrap/>
            <w:vAlign w:val="center"/>
          </w:tcPr>
          <w:p w14:paraId="5F1D40A7">
            <w:pPr>
              <w:widowControl/>
              <w:spacing w:line="276" w:lineRule="auto"/>
              <w:jc w:val="center"/>
              <w:rPr>
                <w:kern w:val="0"/>
                <w:szCs w:val="21"/>
              </w:rPr>
            </w:pPr>
            <w:r>
              <w:rPr>
                <w:kern w:val="0"/>
                <w:szCs w:val="21"/>
              </w:rPr>
              <w:t>序号（</w:t>
            </w:r>
            <w:r>
              <w:rPr>
                <w:i/>
                <w:kern w:val="0"/>
                <w:szCs w:val="21"/>
              </w:rPr>
              <w:t>n</w:t>
            </w:r>
            <w:r>
              <w:rPr>
                <w:kern w:val="0"/>
                <w:szCs w:val="21"/>
              </w:rPr>
              <w:t>）</w:t>
            </w:r>
          </w:p>
        </w:tc>
        <w:tc>
          <w:tcPr>
            <w:tcW w:w="689" w:type="dxa"/>
            <w:tcBorders>
              <w:top w:val="single" w:color="auto" w:sz="4" w:space="0"/>
              <w:left w:val="nil"/>
              <w:bottom w:val="single" w:color="auto" w:sz="4" w:space="0"/>
              <w:right w:val="single" w:color="auto" w:sz="4" w:space="0"/>
            </w:tcBorders>
            <w:noWrap/>
            <w:vAlign w:val="center"/>
          </w:tcPr>
          <w:p w14:paraId="0046369D">
            <w:pPr>
              <w:widowControl/>
              <w:spacing w:line="276" w:lineRule="auto"/>
              <w:jc w:val="center"/>
              <w:rPr>
                <w:kern w:val="0"/>
                <w:sz w:val="20"/>
                <w:szCs w:val="21"/>
              </w:rPr>
            </w:pPr>
            <w:r>
              <w:rPr>
                <w:kern w:val="0"/>
                <w:sz w:val="20"/>
                <w:szCs w:val="21"/>
              </w:rPr>
              <w:t>1</w:t>
            </w:r>
          </w:p>
        </w:tc>
        <w:tc>
          <w:tcPr>
            <w:tcW w:w="689" w:type="dxa"/>
            <w:tcBorders>
              <w:top w:val="single" w:color="auto" w:sz="4" w:space="0"/>
              <w:left w:val="nil"/>
              <w:bottom w:val="single" w:color="auto" w:sz="4" w:space="0"/>
              <w:right w:val="single" w:color="auto" w:sz="4" w:space="0"/>
            </w:tcBorders>
            <w:noWrap/>
            <w:vAlign w:val="center"/>
          </w:tcPr>
          <w:p w14:paraId="20A9E6C0">
            <w:pPr>
              <w:widowControl/>
              <w:spacing w:line="276" w:lineRule="auto"/>
              <w:jc w:val="center"/>
              <w:rPr>
                <w:kern w:val="0"/>
                <w:sz w:val="20"/>
                <w:szCs w:val="21"/>
              </w:rPr>
            </w:pPr>
            <w:r>
              <w:rPr>
                <w:kern w:val="0"/>
                <w:sz w:val="20"/>
                <w:szCs w:val="21"/>
              </w:rPr>
              <w:t>2</w:t>
            </w:r>
          </w:p>
        </w:tc>
        <w:tc>
          <w:tcPr>
            <w:tcW w:w="689" w:type="dxa"/>
            <w:tcBorders>
              <w:top w:val="single" w:color="auto" w:sz="4" w:space="0"/>
              <w:left w:val="nil"/>
              <w:bottom w:val="single" w:color="auto" w:sz="4" w:space="0"/>
              <w:right w:val="single" w:color="auto" w:sz="4" w:space="0"/>
            </w:tcBorders>
            <w:noWrap/>
            <w:vAlign w:val="center"/>
          </w:tcPr>
          <w:p w14:paraId="310612B1">
            <w:pPr>
              <w:widowControl/>
              <w:spacing w:line="276" w:lineRule="auto"/>
              <w:jc w:val="center"/>
              <w:rPr>
                <w:kern w:val="0"/>
                <w:sz w:val="20"/>
                <w:szCs w:val="21"/>
              </w:rPr>
            </w:pPr>
            <w:r>
              <w:rPr>
                <w:kern w:val="0"/>
                <w:sz w:val="20"/>
                <w:szCs w:val="21"/>
              </w:rPr>
              <w:t>3</w:t>
            </w:r>
          </w:p>
        </w:tc>
        <w:tc>
          <w:tcPr>
            <w:tcW w:w="689" w:type="dxa"/>
            <w:tcBorders>
              <w:top w:val="single" w:color="auto" w:sz="4" w:space="0"/>
              <w:left w:val="nil"/>
              <w:bottom w:val="single" w:color="auto" w:sz="4" w:space="0"/>
              <w:right w:val="single" w:color="auto" w:sz="4" w:space="0"/>
            </w:tcBorders>
            <w:noWrap/>
            <w:vAlign w:val="center"/>
          </w:tcPr>
          <w:p w14:paraId="5107E857">
            <w:pPr>
              <w:widowControl/>
              <w:spacing w:line="276" w:lineRule="auto"/>
              <w:jc w:val="center"/>
              <w:rPr>
                <w:kern w:val="0"/>
                <w:sz w:val="20"/>
                <w:szCs w:val="21"/>
              </w:rPr>
            </w:pPr>
            <w:r>
              <w:rPr>
                <w:kern w:val="0"/>
                <w:sz w:val="20"/>
                <w:szCs w:val="21"/>
              </w:rPr>
              <w:t>4</w:t>
            </w:r>
          </w:p>
        </w:tc>
        <w:tc>
          <w:tcPr>
            <w:tcW w:w="689" w:type="dxa"/>
            <w:tcBorders>
              <w:top w:val="single" w:color="auto" w:sz="4" w:space="0"/>
              <w:left w:val="nil"/>
              <w:bottom w:val="single" w:color="auto" w:sz="4" w:space="0"/>
              <w:right w:val="single" w:color="auto" w:sz="4" w:space="0"/>
            </w:tcBorders>
            <w:noWrap/>
            <w:vAlign w:val="center"/>
          </w:tcPr>
          <w:p w14:paraId="37693BDB">
            <w:pPr>
              <w:widowControl/>
              <w:spacing w:line="276" w:lineRule="auto"/>
              <w:jc w:val="center"/>
              <w:rPr>
                <w:kern w:val="0"/>
                <w:sz w:val="20"/>
                <w:szCs w:val="21"/>
              </w:rPr>
            </w:pPr>
            <w:r>
              <w:rPr>
                <w:kern w:val="0"/>
                <w:sz w:val="20"/>
                <w:szCs w:val="21"/>
              </w:rPr>
              <w:t>5</w:t>
            </w:r>
          </w:p>
        </w:tc>
        <w:tc>
          <w:tcPr>
            <w:tcW w:w="689" w:type="dxa"/>
            <w:tcBorders>
              <w:top w:val="single" w:color="auto" w:sz="4" w:space="0"/>
              <w:left w:val="nil"/>
              <w:bottom w:val="single" w:color="auto" w:sz="4" w:space="0"/>
              <w:right w:val="single" w:color="auto" w:sz="4" w:space="0"/>
            </w:tcBorders>
            <w:noWrap/>
            <w:vAlign w:val="center"/>
          </w:tcPr>
          <w:p w14:paraId="5B2A09C3">
            <w:pPr>
              <w:widowControl/>
              <w:spacing w:line="276" w:lineRule="auto"/>
              <w:jc w:val="center"/>
              <w:rPr>
                <w:kern w:val="0"/>
                <w:sz w:val="20"/>
                <w:szCs w:val="21"/>
              </w:rPr>
            </w:pPr>
            <w:r>
              <w:rPr>
                <w:kern w:val="0"/>
                <w:sz w:val="20"/>
                <w:szCs w:val="21"/>
              </w:rPr>
              <w:t>6</w:t>
            </w:r>
          </w:p>
        </w:tc>
        <w:tc>
          <w:tcPr>
            <w:tcW w:w="689" w:type="dxa"/>
            <w:tcBorders>
              <w:top w:val="single" w:color="auto" w:sz="4" w:space="0"/>
              <w:left w:val="nil"/>
              <w:bottom w:val="single" w:color="auto" w:sz="4" w:space="0"/>
              <w:right w:val="single" w:color="auto" w:sz="4" w:space="0"/>
            </w:tcBorders>
            <w:noWrap/>
            <w:vAlign w:val="center"/>
          </w:tcPr>
          <w:p w14:paraId="76C5696F">
            <w:pPr>
              <w:widowControl/>
              <w:spacing w:line="276" w:lineRule="auto"/>
              <w:jc w:val="center"/>
              <w:rPr>
                <w:kern w:val="0"/>
                <w:sz w:val="20"/>
                <w:szCs w:val="21"/>
              </w:rPr>
            </w:pPr>
            <w:r>
              <w:rPr>
                <w:kern w:val="0"/>
                <w:sz w:val="20"/>
                <w:szCs w:val="21"/>
              </w:rPr>
              <w:t>7</w:t>
            </w:r>
          </w:p>
        </w:tc>
        <w:tc>
          <w:tcPr>
            <w:tcW w:w="689" w:type="dxa"/>
            <w:tcBorders>
              <w:top w:val="single" w:color="auto" w:sz="4" w:space="0"/>
              <w:left w:val="nil"/>
              <w:bottom w:val="single" w:color="auto" w:sz="4" w:space="0"/>
              <w:right w:val="single" w:color="auto" w:sz="4" w:space="0"/>
            </w:tcBorders>
            <w:noWrap/>
            <w:vAlign w:val="center"/>
          </w:tcPr>
          <w:p w14:paraId="0E6AC13C">
            <w:pPr>
              <w:widowControl/>
              <w:spacing w:line="276" w:lineRule="auto"/>
              <w:jc w:val="center"/>
              <w:rPr>
                <w:kern w:val="0"/>
                <w:sz w:val="20"/>
                <w:szCs w:val="21"/>
              </w:rPr>
            </w:pPr>
            <w:r>
              <w:rPr>
                <w:kern w:val="0"/>
                <w:sz w:val="20"/>
                <w:szCs w:val="21"/>
              </w:rPr>
              <w:t>8</w:t>
            </w:r>
          </w:p>
        </w:tc>
        <w:tc>
          <w:tcPr>
            <w:tcW w:w="689" w:type="dxa"/>
            <w:tcBorders>
              <w:top w:val="single" w:color="auto" w:sz="4" w:space="0"/>
              <w:left w:val="nil"/>
              <w:bottom w:val="single" w:color="auto" w:sz="4" w:space="0"/>
              <w:right w:val="single" w:color="auto" w:sz="4" w:space="0"/>
            </w:tcBorders>
            <w:noWrap/>
            <w:vAlign w:val="center"/>
          </w:tcPr>
          <w:p w14:paraId="3083E2A8">
            <w:pPr>
              <w:widowControl/>
              <w:spacing w:line="276" w:lineRule="auto"/>
              <w:jc w:val="center"/>
              <w:rPr>
                <w:kern w:val="0"/>
                <w:sz w:val="20"/>
                <w:szCs w:val="21"/>
              </w:rPr>
            </w:pPr>
            <w:r>
              <w:rPr>
                <w:kern w:val="0"/>
                <w:sz w:val="20"/>
                <w:szCs w:val="21"/>
              </w:rPr>
              <w:t>9</w:t>
            </w:r>
          </w:p>
        </w:tc>
        <w:tc>
          <w:tcPr>
            <w:tcW w:w="689" w:type="dxa"/>
            <w:tcBorders>
              <w:top w:val="single" w:color="auto" w:sz="4" w:space="0"/>
              <w:left w:val="nil"/>
              <w:bottom w:val="single" w:color="auto" w:sz="4" w:space="0"/>
              <w:right w:val="single" w:color="auto" w:sz="4" w:space="0"/>
            </w:tcBorders>
            <w:noWrap/>
            <w:vAlign w:val="center"/>
          </w:tcPr>
          <w:p w14:paraId="4E9B01ED">
            <w:pPr>
              <w:widowControl/>
              <w:spacing w:line="276" w:lineRule="auto"/>
              <w:jc w:val="center"/>
              <w:rPr>
                <w:kern w:val="0"/>
                <w:sz w:val="20"/>
                <w:szCs w:val="21"/>
              </w:rPr>
            </w:pPr>
            <w:r>
              <w:rPr>
                <w:kern w:val="0"/>
                <w:sz w:val="20"/>
                <w:szCs w:val="21"/>
              </w:rPr>
              <w:t>10</w:t>
            </w:r>
          </w:p>
        </w:tc>
      </w:tr>
      <w:tr w14:paraId="72200C5D">
        <w:tblPrEx>
          <w:tblCellMar>
            <w:top w:w="0" w:type="dxa"/>
            <w:left w:w="108" w:type="dxa"/>
            <w:bottom w:w="0" w:type="dxa"/>
            <w:right w:w="108" w:type="dxa"/>
          </w:tblCellMar>
        </w:tblPrEx>
        <w:trPr>
          <w:trHeight w:val="274" w:hRule="atLeast"/>
          <w:jc w:val="center"/>
        </w:trPr>
        <w:tc>
          <w:tcPr>
            <w:tcW w:w="1130" w:type="dxa"/>
            <w:tcBorders>
              <w:top w:val="nil"/>
              <w:left w:val="single" w:color="auto" w:sz="4" w:space="0"/>
              <w:bottom w:val="single" w:color="auto" w:sz="4" w:space="0"/>
              <w:right w:val="single" w:color="auto" w:sz="4" w:space="0"/>
            </w:tcBorders>
            <w:noWrap/>
            <w:vAlign w:val="center"/>
          </w:tcPr>
          <w:p w14:paraId="0EAE2A20">
            <w:pPr>
              <w:widowControl/>
              <w:spacing w:line="276" w:lineRule="auto"/>
              <w:jc w:val="center"/>
              <w:rPr>
                <w:kern w:val="0"/>
                <w:szCs w:val="21"/>
              </w:rPr>
            </w:pPr>
            <w:r>
              <w:rPr>
                <w:kern w:val="0"/>
                <w:szCs w:val="21"/>
              </w:rPr>
              <w:t>温度（mV）</w:t>
            </w:r>
          </w:p>
        </w:tc>
        <w:tc>
          <w:tcPr>
            <w:tcW w:w="689" w:type="dxa"/>
            <w:tcBorders>
              <w:top w:val="nil"/>
              <w:left w:val="nil"/>
              <w:bottom w:val="single" w:color="auto" w:sz="4" w:space="0"/>
              <w:right w:val="single" w:color="auto" w:sz="4" w:space="0"/>
            </w:tcBorders>
            <w:noWrap/>
            <w:vAlign w:val="center"/>
          </w:tcPr>
          <w:p w14:paraId="4A92B436">
            <w:pPr>
              <w:widowControl/>
              <w:jc w:val="center"/>
              <w:rPr>
                <w:kern w:val="0"/>
                <w:sz w:val="20"/>
                <w:szCs w:val="21"/>
              </w:rPr>
            </w:pPr>
            <w:r>
              <w:rPr>
                <w:kern w:val="0"/>
                <w:sz w:val="20"/>
                <w:szCs w:val="21"/>
              </w:rPr>
              <w:t>9.4744</w:t>
            </w:r>
          </w:p>
        </w:tc>
        <w:tc>
          <w:tcPr>
            <w:tcW w:w="689" w:type="dxa"/>
            <w:tcBorders>
              <w:top w:val="nil"/>
              <w:left w:val="nil"/>
              <w:bottom w:val="single" w:color="auto" w:sz="4" w:space="0"/>
              <w:right w:val="single" w:color="auto" w:sz="4" w:space="0"/>
            </w:tcBorders>
            <w:noWrap/>
            <w:vAlign w:val="center"/>
          </w:tcPr>
          <w:p w14:paraId="79186A5C">
            <w:pPr>
              <w:widowControl/>
              <w:jc w:val="center"/>
              <w:rPr>
                <w:kern w:val="0"/>
                <w:sz w:val="20"/>
                <w:szCs w:val="21"/>
              </w:rPr>
            </w:pPr>
            <w:r>
              <w:rPr>
                <w:kern w:val="0"/>
                <w:sz w:val="20"/>
                <w:szCs w:val="21"/>
              </w:rPr>
              <w:t>9.4749</w:t>
            </w:r>
          </w:p>
        </w:tc>
        <w:tc>
          <w:tcPr>
            <w:tcW w:w="689" w:type="dxa"/>
            <w:tcBorders>
              <w:top w:val="nil"/>
              <w:left w:val="nil"/>
              <w:bottom w:val="single" w:color="auto" w:sz="4" w:space="0"/>
              <w:right w:val="single" w:color="auto" w:sz="4" w:space="0"/>
            </w:tcBorders>
            <w:noWrap/>
            <w:vAlign w:val="center"/>
          </w:tcPr>
          <w:p w14:paraId="38B53718">
            <w:pPr>
              <w:widowControl/>
              <w:jc w:val="center"/>
              <w:rPr>
                <w:kern w:val="0"/>
                <w:sz w:val="20"/>
                <w:szCs w:val="21"/>
              </w:rPr>
            </w:pPr>
            <w:r>
              <w:rPr>
                <w:kern w:val="0"/>
                <w:sz w:val="20"/>
                <w:szCs w:val="21"/>
              </w:rPr>
              <w:t>9.4747</w:t>
            </w:r>
          </w:p>
        </w:tc>
        <w:tc>
          <w:tcPr>
            <w:tcW w:w="689" w:type="dxa"/>
            <w:tcBorders>
              <w:top w:val="nil"/>
              <w:left w:val="nil"/>
              <w:bottom w:val="single" w:color="auto" w:sz="4" w:space="0"/>
              <w:right w:val="single" w:color="auto" w:sz="4" w:space="0"/>
            </w:tcBorders>
            <w:noWrap/>
            <w:vAlign w:val="center"/>
          </w:tcPr>
          <w:p w14:paraId="1B0F6E4F">
            <w:pPr>
              <w:widowControl/>
              <w:jc w:val="center"/>
              <w:rPr>
                <w:kern w:val="0"/>
                <w:sz w:val="20"/>
                <w:szCs w:val="21"/>
              </w:rPr>
            </w:pPr>
            <w:r>
              <w:rPr>
                <w:kern w:val="0"/>
                <w:sz w:val="20"/>
                <w:szCs w:val="21"/>
              </w:rPr>
              <w:t>9.4750</w:t>
            </w:r>
          </w:p>
        </w:tc>
        <w:tc>
          <w:tcPr>
            <w:tcW w:w="689" w:type="dxa"/>
            <w:tcBorders>
              <w:top w:val="nil"/>
              <w:left w:val="nil"/>
              <w:bottom w:val="single" w:color="auto" w:sz="4" w:space="0"/>
              <w:right w:val="single" w:color="auto" w:sz="4" w:space="0"/>
            </w:tcBorders>
            <w:noWrap/>
            <w:vAlign w:val="center"/>
          </w:tcPr>
          <w:p w14:paraId="3A079754">
            <w:pPr>
              <w:widowControl/>
              <w:jc w:val="center"/>
              <w:rPr>
                <w:kern w:val="0"/>
                <w:sz w:val="20"/>
                <w:szCs w:val="21"/>
              </w:rPr>
            </w:pPr>
            <w:r>
              <w:rPr>
                <w:kern w:val="0"/>
                <w:sz w:val="20"/>
                <w:szCs w:val="21"/>
              </w:rPr>
              <w:t>9.4749</w:t>
            </w:r>
          </w:p>
        </w:tc>
        <w:tc>
          <w:tcPr>
            <w:tcW w:w="689" w:type="dxa"/>
            <w:tcBorders>
              <w:top w:val="nil"/>
              <w:left w:val="nil"/>
              <w:bottom w:val="single" w:color="auto" w:sz="4" w:space="0"/>
              <w:right w:val="single" w:color="auto" w:sz="4" w:space="0"/>
            </w:tcBorders>
            <w:noWrap/>
            <w:vAlign w:val="center"/>
          </w:tcPr>
          <w:p w14:paraId="5045480F">
            <w:pPr>
              <w:widowControl/>
              <w:jc w:val="center"/>
              <w:rPr>
                <w:kern w:val="0"/>
                <w:sz w:val="20"/>
                <w:szCs w:val="21"/>
              </w:rPr>
            </w:pPr>
            <w:r>
              <w:rPr>
                <w:kern w:val="0"/>
                <w:sz w:val="20"/>
                <w:szCs w:val="21"/>
              </w:rPr>
              <w:t>9.4752</w:t>
            </w:r>
          </w:p>
        </w:tc>
        <w:tc>
          <w:tcPr>
            <w:tcW w:w="689" w:type="dxa"/>
            <w:tcBorders>
              <w:top w:val="nil"/>
              <w:left w:val="nil"/>
              <w:bottom w:val="single" w:color="auto" w:sz="4" w:space="0"/>
              <w:right w:val="single" w:color="auto" w:sz="4" w:space="0"/>
            </w:tcBorders>
            <w:noWrap/>
            <w:vAlign w:val="center"/>
          </w:tcPr>
          <w:p w14:paraId="0CEA396D">
            <w:pPr>
              <w:widowControl/>
              <w:jc w:val="center"/>
              <w:rPr>
                <w:kern w:val="0"/>
                <w:sz w:val="20"/>
                <w:szCs w:val="21"/>
              </w:rPr>
            </w:pPr>
            <w:r>
              <w:rPr>
                <w:kern w:val="0"/>
                <w:sz w:val="20"/>
                <w:szCs w:val="21"/>
              </w:rPr>
              <w:t>9.4752</w:t>
            </w:r>
          </w:p>
        </w:tc>
        <w:tc>
          <w:tcPr>
            <w:tcW w:w="689" w:type="dxa"/>
            <w:tcBorders>
              <w:top w:val="nil"/>
              <w:left w:val="nil"/>
              <w:bottom w:val="single" w:color="auto" w:sz="4" w:space="0"/>
              <w:right w:val="single" w:color="auto" w:sz="4" w:space="0"/>
            </w:tcBorders>
            <w:noWrap/>
            <w:vAlign w:val="center"/>
          </w:tcPr>
          <w:p w14:paraId="10A9B323">
            <w:pPr>
              <w:widowControl/>
              <w:jc w:val="center"/>
              <w:rPr>
                <w:kern w:val="0"/>
                <w:sz w:val="20"/>
                <w:szCs w:val="21"/>
              </w:rPr>
            </w:pPr>
            <w:r>
              <w:rPr>
                <w:kern w:val="0"/>
                <w:sz w:val="20"/>
                <w:szCs w:val="21"/>
              </w:rPr>
              <w:t>9.4750</w:t>
            </w:r>
          </w:p>
        </w:tc>
        <w:tc>
          <w:tcPr>
            <w:tcW w:w="689" w:type="dxa"/>
            <w:tcBorders>
              <w:top w:val="nil"/>
              <w:left w:val="nil"/>
              <w:bottom w:val="single" w:color="auto" w:sz="4" w:space="0"/>
              <w:right w:val="single" w:color="auto" w:sz="4" w:space="0"/>
            </w:tcBorders>
            <w:noWrap/>
            <w:vAlign w:val="center"/>
          </w:tcPr>
          <w:p w14:paraId="594A0374">
            <w:pPr>
              <w:widowControl/>
              <w:jc w:val="center"/>
              <w:rPr>
                <w:kern w:val="0"/>
                <w:sz w:val="20"/>
                <w:szCs w:val="21"/>
              </w:rPr>
            </w:pPr>
            <w:r>
              <w:rPr>
                <w:kern w:val="0"/>
                <w:sz w:val="20"/>
                <w:szCs w:val="21"/>
              </w:rPr>
              <w:t>9.4748</w:t>
            </w:r>
          </w:p>
        </w:tc>
        <w:tc>
          <w:tcPr>
            <w:tcW w:w="689" w:type="dxa"/>
            <w:tcBorders>
              <w:top w:val="nil"/>
              <w:left w:val="nil"/>
              <w:bottom w:val="single" w:color="auto" w:sz="4" w:space="0"/>
              <w:right w:val="single" w:color="auto" w:sz="4" w:space="0"/>
            </w:tcBorders>
            <w:noWrap/>
            <w:vAlign w:val="center"/>
          </w:tcPr>
          <w:p w14:paraId="07736CC2">
            <w:pPr>
              <w:widowControl/>
              <w:jc w:val="center"/>
              <w:rPr>
                <w:kern w:val="0"/>
                <w:sz w:val="20"/>
                <w:szCs w:val="21"/>
              </w:rPr>
            </w:pPr>
            <w:r>
              <w:rPr>
                <w:kern w:val="0"/>
                <w:sz w:val="20"/>
                <w:szCs w:val="21"/>
              </w:rPr>
              <w:t>9.4746</w:t>
            </w:r>
          </w:p>
        </w:tc>
      </w:tr>
    </w:tbl>
    <w:p w14:paraId="52874D56">
      <w:pPr>
        <w:spacing w:line="360" w:lineRule="auto"/>
        <w:ind w:firstLine="480" w:firstLineChars="200"/>
        <w:rPr>
          <w:sz w:val="24"/>
        </w:rPr>
      </w:pPr>
      <w:r>
        <w:rPr>
          <w:sz w:val="24"/>
        </w:rPr>
        <w:t>标准偏差</w:t>
      </w:r>
      <w:r>
        <w:rPr>
          <w:position w:val="-6"/>
          <w:sz w:val="24"/>
        </w:rPr>
        <w:pict>
          <v:shape id="_x0000_i1098" o:spt="75" type="#_x0000_t75" style="height:10.5pt;width:9pt;" filled="f" o:preferrelative="t" stroked="f" coordsize="21600,21600">
            <v:path/>
            <v:fill on="f" focussize="0,0"/>
            <v:stroke on="f" joinstyle="miter"/>
            <v:imagedata r:id="rId114" o:title=""/>
            <o:lock v:ext="edit" aspectratio="t"/>
            <w10:wrap type="none"/>
            <w10:anchorlock/>
          </v:shape>
        </w:pict>
      </w:r>
      <w:r>
        <w:rPr>
          <w:sz w:val="24"/>
        </w:rPr>
        <w:t>的公式如下：</w:t>
      </w:r>
    </w:p>
    <w:p w14:paraId="2BAEB855">
      <w:pPr>
        <w:spacing w:line="300" w:lineRule="auto"/>
        <w:ind w:right="25" w:rightChars="12"/>
        <w:jc w:val="center"/>
        <w:rPr>
          <w:sz w:val="24"/>
          <w:szCs w:val="21"/>
        </w:rPr>
      </w:pPr>
      <w:r>
        <w:rPr>
          <w:rFonts w:hint="eastAsia"/>
          <w:position w:val="-26"/>
          <w:sz w:val="24"/>
        </w:rPr>
        <w:t xml:space="preserve">                           </w:t>
      </w:r>
      <w:r>
        <w:rPr>
          <w:position w:val="-26"/>
          <w:sz w:val="24"/>
        </w:rPr>
        <w:pict>
          <v:shape id="_x0000_i1099" o:spt="75" type="#_x0000_t75" style="height:52.5pt;width:86.25pt;" filled="f" o:preferrelative="t" stroked="f" coordsize="21600,21600">
            <v:path/>
            <v:fill on="f" focussize="0,0"/>
            <v:stroke on="f" joinstyle="miter"/>
            <v:imagedata r:id="rId115" o:title=""/>
            <o:lock v:ext="edit" aspectratio="t"/>
            <w10:wrap type="none"/>
            <w10:anchorlock/>
          </v:shape>
        </w:pict>
      </w:r>
      <w:r>
        <w:rPr>
          <w:rFonts w:hint="eastAsia"/>
          <w:position w:val="-26"/>
          <w:sz w:val="24"/>
        </w:rPr>
        <w:t xml:space="preserve">                        </w:t>
      </w:r>
      <w:r>
        <w:rPr>
          <w:sz w:val="24"/>
          <w:szCs w:val="21"/>
        </w:rPr>
        <w:t>(C.4)</w:t>
      </w:r>
    </w:p>
    <w:p w14:paraId="68E2516B">
      <w:pPr>
        <w:spacing w:line="360" w:lineRule="auto"/>
        <w:ind w:firstLine="480" w:firstLineChars="200"/>
        <w:rPr>
          <w:sz w:val="24"/>
        </w:rPr>
      </w:pPr>
      <w:r>
        <w:rPr>
          <w:sz w:val="24"/>
        </w:rPr>
        <w:t>则由标准铂铑10-铂热电偶测量重复性引入的标准不确定度分量：</w:t>
      </w:r>
    </w:p>
    <w:p w14:paraId="4D5A6D15">
      <w:pPr>
        <w:spacing w:line="360" w:lineRule="auto"/>
        <w:ind w:firstLine="480" w:firstLineChars="200"/>
        <w:jc w:val="center"/>
        <w:rPr>
          <w:sz w:val="24"/>
        </w:rPr>
      </w:pPr>
      <w:r>
        <w:rPr>
          <w:i/>
          <w:sz w:val="24"/>
        </w:rPr>
        <w:t>u</w:t>
      </w:r>
      <w:r>
        <w:rPr>
          <w:sz w:val="24"/>
          <w:vertAlign w:val="subscript"/>
        </w:rPr>
        <w:t>7</w:t>
      </w:r>
      <w:r>
        <w:rPr>
          <w:sz w:val="24"/>
        </w:rPr>
        <w:t xml:space="preserve"> =</w:t>
      </w:r>
      <w:r>
        <w:rPr>
          <w:position w:val="-6"/>
          <w:sz w:val="24"/>
        </w:rPr>
        <w:object>
          <v:shape id="_x0000_i1100" o:spt="75" type="#_x0000_t75" style="height:16.5pt;width:33pt;" o:ole="t" filled="f" o:preferrelative="t" stroked="f" coordsize="21600,21600">
            <v:path/>
            <v:fill on="f" focussize="0,0"/>
            <v:stroke on="f" joinstyle="miter"/>
            <v:imagedata r:id="rId117" o:title=""/>
            <o:lock v:ext="edit" aspectratio="t"/>
            <w10:wrap type="none"/>
            <w10:anchorlock/>
          </v:shape>
          <o:OLEObject Type="Embed" ProgID="Equation.DSMT4" ShapeID="_x0000_i1100" DrawAspect="Content" ObjectID="_1468075798" r:id="rId140">
            <o:LockedField>false</o:LockedField>
          </o:OLEObject>
        </w:object>
      </w:r>
      <w:r>
        <w:rPr>
          <w:sz w:val="24"/>
        </w:rPr>
        <w:t>= 0.125μV</w:t>
      </w:r>
    </w:p>
    <w:p w14:paraId="21179818">
      <w:pPr>
        <w:spacing w:line="360" w:lineRule="auto"/>
        <w:rPr>
          <w:sz w:val="24"/>
        </w:rPr>
      </w:pPr>
      <w:r>
        <w:rPr>
          <w:sz w:val="24"/>
          <w:szCs w:val="21"/>
        </w:rPr>
        <w:t>C.3.3.2电测仪表测量误差引入的不确定度</w:t>
      </w:r>
      <w:r>
        <w:rPr>
          <w:i/>
          <w:sz w:val="24"/>
          <w:szCs w:val="21"/>
        </w:rPr>
        <w:t>u</w:t>
      </w:r>
      <w:r>
        <w:rPr>
          <w:sz w:val="24"/>
          <w:szCs w:val="21"/>
          <w:vertAlign w:val="subscript"/>
        </w:rPr>
        <w:t>8</w:t>
      </w:r>
    </w:p>
    <w:p w14:paraId="2132A5EA">
      <w:pPr>
        <w:spacing w:line="360" w:lineRule="auto"/>
        <w:ind w:firstLine="480" w:firstLineChars="200"/>
        <w:rPr>
          <w:sz w:val="24"/>
        </w:rPr>
      </w:pPr>
      <w:r>
        <w:rPr>
          <w:sz w:val="24"/>
        </w:rPr>
        <w:t>使用数字多用表吉时利2010进行测量时，量程（0~100）mV，最大允许误差为±（37×10</w:t>
      </w:r>
      <w:r>
        <w:rPr>
          <w:sz w:val="24"/>
          <w:vertAlign w:val="superscript"/>
        </w:rPr>
        <w:t>-6</w:t>
      </w:r>
      <w:r>
        <w:rPr>
          <w:sz w:val="24"/>
        </w:rPr>
        <w:t>×读数+9×10</w:t>
      </w:r>
      <w:r>
        <w:rPr>
          <w:sz w:val="24"/>
          <w:vertAlign w:val="superscript"/>
        </w:rPr>
        <w:t>-6</w:t>
      </w:r>
      <w:r>
        <w:rPr>
          <w:sz w:val="24"/>
        </w:rPr>
        <w:t>×量程），按均匀分布考虑，则：</w:t>
      </w:r>
    </w:p>
    <w:p w14:paraId="2F13C9A4">
      <w:pPr>
        <w:spacing w:line="360" w:lineRule="auto"/>
        <w:jc w:val="center"/>
        <w:rPr>
          <w:sz w:val="24"/>
        </w:rPr>
      </w:pPr>
      <w:r>
        <w:rPr>
          <w:position w:val="-12"/>
        </w:rPr>
        <w:object>
          <v:shape id="_x0000_i1101" o:spt="75" type="#_x0000_t75" style="height:18pt;width:22.5pt;" o:ole="t" filled="f" o:preferrelative="t" stroked="f" coordsize="21600,21600">
            <v:path/>
            <v:fill on="f" focussize="0,0"/>
            <v:stroke on="f" joinstyle="miter"/>
            <v:imagedata r:id="rId142" o:title=""/>
            <o:lock v:ext="edit" aspectratio="t"/>
            <w10:wrap type="none"/>
            <w10:anchorlock/>
          </v:shape>
          <o:OLEObject Type="Embed" ProgID="Equation.DSMT4" ShapeID="_x0000_i1101" DrawAspect="Content" ObjectID="_1468075799" r:id="rId141">
            <o:LockedField>false</o:LockedField>
          </o:OLEObject>
        </w:object>
      </w:r>
      <w:r>
        <w:rPr>
          <w:sz w:val="24"/>
        </w:rPr>
        <w:t>0.722 μV</w:t>
      </w:r>
    </w:p>
    <w:p w14:paraId="252B64EF">
      <w:pPr>
        <w:spacing w:line="360" w:lineRule="auto"/>
        <w:rPr>
          <w:sz w:val="24"/>
        </w:rPr>
      </w:pPr>
      <w:r>
        <w:rPr>
          <w:sz w:val="24"/>
          <w:szCs w:val="21"/>
        </w:rPr>
        <w:t>C.3.3.3 转换开关读数寄生热电势引入的不确定度</w:t>
      </w:r>
      <w:r>
        <w:rPr>
          <w:i/>
          <w:sz w:val="24"/>
          <w:szCs w:val="21"/>
        </w:rPr>
        <w:t>u</w:t>
      </w:r>
      <w:r>
        <w:rPr>
          <w:sz w:val="24"/>
          <w:szCs w:val="21"/>
          <w:vertAlign w:val="subscript"/>
        </w:rPr>
        <w:t>9</w:t>
      </w:r>
    </w:p>
    <w:p w14:paraId="0CCBDBD3">
      <w:pPr>
        <w:spacing w:line="360" w:lineRule="auto"/>
        <w:ind w:firstLine="480" w:firstLineChars="200"/>
        <w:rPr>
          <w:sz w:val="24"/>
        </w:rPr>
      </w:pPr>
      <w:r>
        <w:rPr>
          <w:sz w:val="24"/>
        </w:rPr>
        <w:t>转换开关接触电势应小于0.5μV。按均匀分布考虑，则：</w:t>
      </w:r>
    </w:p>
    <w:p w14:paraId="03BCED92">
      <w:pPr>
        <w:spacing w:line="360" w:lineRule="auto"/>
        <w:jc w:val="center"/>
        <w:rPr>
          <w:sz w:val="24"/>
        </w:rPr>
      </w:pPr>
      <w:r>
        <w:rPr>
          <w:position w:val="-12"/>
        </w:rPr>
        <w:object>
          <v:shape id="_x0000_i1102" o:spt="75" type="#_x0000_t75" style="height:19.5pt;width:70.5pt;" o:ole="t" filled="f" o:preferrelative="t" stroked="f" coordsize="21600,21600">
            <v:path/>
            <v:fill on="f" focussize="0,0"/>
            <v:stroke on="f" joinstyle="miter"/>
            <v:imagedata r:id="rId144" o:title=""/>
            <o:lock v:ext="edit" aspectratio="t"/>
            <w10:wrap type="none"/>
            <w10:anchorlock/>
          </v:shape>
          <o:OLEObject Type="Embed" ProgID="Equation.DSMT4" ShapeID="_x0000_i1102" DrawAspect="Content" ObjectID="_1468075800" r:id="rId143">
            <o:LockedField>false</o:LockedField>
          </o:OLEObject>
        </w:object>
      </w:r>
      <w:r>
        <w:rPr>
          <w:sz w:val="24"/>
        </w:rPr>
        <w:t>0.289 μV</w:t>
      </w:r>
    </w:p>
    <w:p w14:paraId="01F2AB32">
      <w:pPr>
        <w:spacing w:line="360" w:lineRule="auto"/>
        <w:rPr>
          <w:sz w:val="24"/>
        </w:rPr>
      </w:pPr>
      <w:r>
        <w:rPr>
          <w:sz w:val="24"/>
          <w:szCs w:val="21"/>
        </w:rPr>
        <w:t>C.3.3.4 热电偶参考端温度不均匀引入的不确定度</w:t>
      </w:r>
      <w:r>
        <w:rPr>
          <w:i/>
          <w:sz w:val="24"/>
          <w:szCs w:val="21"/>
        </w:rPr>
        <w:t>u</w:t>
      </w:r>
      <w:r>
        <w:rPr>
          <w:sz w:val="24"/>
          <w:szCs w:val="21"/>
          <w:vertAlign w:val="subscript"/>
        </w:rPr>
        <w:t>10</w:t>
      </w:r>
    </w:p>
    <w:p w14:paraId="559E56A2">
      <w:pPr>
        <w:spacing w:line="360" w:lineRule="auto"/>
        <w:ind w:firstLine="480" w:firstLineChars="200"/>
        <w:rPr>
          <w:sz w:val="24"/>
        </w:rPr>
      </w:pPr>
      <w:r>
        <w:rPr>
          <w:sz w:val="24"/>
        </w:rPr>
        <w:t>由经验和试验可得热电偶参考端即冰点恒温器带来的误差为±0.05℃，标准铂铑10-铂热电偶在冰点的微分热电势为5.403μV/℃，换算成电势值为±（5.403×0.05℃）=±0.27μV，按均匀分布考虑，则：</w:t>
      </w:r>
    </w:p>
    <w:p w14:paraId="366E6AE8">
      <w:pPr>
        <w:spacing w:line="360" w:lineRule="auto"/>
        <w:jc w:val="center"/>
        <w:rPr>
          <w:sz w:val="24"/>
        </w:rPr>
      </w:pPr>
      <w:r>
        <w:rPr>
          <w:position w:val="-12"/>
        </w:rPr>
        <w:object>
          <v:shape id="_x0000_i1103" o:spt="75" type="#_x0000_t75" style="height:19.5pt;width:79.5pt;" o:ole="t" filled="f" o:preferrelative="t" stroked="f" coordsize="21600,21600">
            <v:path/>
            <v:fill on="f" focussize="0,0"/>
            <v:stroke on="f" joinstyle="miter"/>
            <v:imagedata r:id="rId146" o:title=""/>
            <o:lock v:ext="edit" aspectratio="t"/>
            <w10:wrap type="none"/>
            <w10:anchorlock/>
          </v:shape>
          <o:OLEObject Type="Embed" ProgID="Equation.DSMT4" ShapeID="_x0000_i1103" DrawAspect="Content" ObjectID="_1468075801" r:id="rId145">
            <o:LockedField>false</o:LockedField>
          </o:OLEObject>
        </w:object>
      </w:r>
      <w:r>
        <w:rPr>
          <w:sz w:val="24"/>
        </w:rPr>
        <w:t>0.156 μV</w:t>
      </w:r>
    </w:p>
    <w:p w14:paraId="45081FE5">
      <w:pPr>
        <w:spacing w:line="360" w:lineRule="auto"/>
        <w:ind w:firstLine="480" w:firstLineChars="200"/>
        <w:rPr>
          <w:sz w:val="24"/>
        </w:rPr>
      </w:pPr>
      <w:r>
        <w:rPr>
          <w:sz w:val="24"/>
        </w:rPr>
        <w:t>因此，输入量</w:t>
      </w:r>
      <w:r>
        <w:rPr>
          <w:position w:val="-14"/>
        </w:rPr>
        <w:object>
          <v:shape id="_x0000_i1104" o:spt="75" type="#_x0000_t75" style="height:19.5pt;width:31.5pt;" o:ole="t" filled="f" o:preferrelative="t" stroked="f" coordsize="21600,21600">
            <v:path/>
            <v:fill on="f" focussize="0,0"/>
            <v:stroke on="f" joinstyle="miter"/>
            <v:imagedata r:id="rId89" o:title=""/>
            <o:lock v:ext="edit" aspectratio="t"/>
            <w10:wrap type="none"/>
            <w10:anchorlock/>
          </v:shape>
          <o:OLEObject Type="Embed" ProgID="Equation.DSMT4" ShapeID="_x0000_i1104" DrawAspect="Content" ObjectID="_1468075802" r:id="rId147">
            <o:LockedField>false</o:LockedField>
          </o:OLEObject>
        </w:object>
      </w:r>
      <w:r>
        <w:rPr>
          <w:sz w:val="24"/>
        </w:rPr>
        <w:t>引入的标准不确定度</w:t>
      </w:r>
      <w:r>
        <w:rPr>
          <w:position w:val="-16"/>
        </w:rPr>
        <w:object>
          <v:shape id="_x0000_i1105" o:spt="75" type="#_x0000_t75" style="height:22.5pt;width:49.5pt;" o:ole="t" filled="f" o:preferrelative="t" stroked="f" coordsize="21600,21600">
            <v:path/>
            <v:fill on="f" focussize="0,0"/>
            <v:stroke on="f" joinstyle="miter"/>
            <v:imagedata r:id="rId91" o:title=""/>
            <o:lock v:ext="edit" aspectratio="t"/>
            <w10:wrap type="none"/>
            <w10:anchorlock/>
          </v:shape>
          <o:OLEObject Type="Embed" ProgID="Equation.DSMT4" ShapeID="_x0000_i1105" DrawAspect="Content" ObjectID="_1468075803" r:id="rId148">
            <o:LockedField>false</o:LockedField>
          </o:OLEObject>
        </w:object>
      </w:r>
      <w:r>
        <w:rPr>
          <w:sz w:val="24"/>
        </w:rPr>
        <w:t>：</w:t>
      </w:r>
    </w:p>
    <w:p w14:paraId="63BC7752">
      <w:pPr>
        <w:spacing w:line="360" w:lineRule="auto"/>
        <w:jc w:val="center"/>
        <w:rPr>
          <w:sz w:val="24"/>
        </w:rPr>
      </w:pPr>
      <w:r>
        <w:rPr>
          <w:position w:val="-16"/>
        </w:rPr>
        <w:object>
          <v:shape id="_x0000_i1106" o:spt="75" type="#_x0000_t75" style="height:24pt;width:159.75pt;" o:ole="t" filled="f" o:preferrelative="t" stroked="f" coordsize="21600,21600">
            <v:path/>
            <v:fill on="f" focussize="0,0"/>
            <v:stroke on="f" joinstyle="miter"/>
            <v:imagedata r:id="rId150" o:title=""/>
            <o:lock v:ext="edit" aspectratio="t"/>
            <w10:wrap type="none"/>
            <w10:anchorlock/>
          </v:shape>
          <o:OLEObject Type="Embed" ProgID="Equation.DSMT4" ShapeID="_x0000_i1106" DrawAspect="Content" ObjectID="_1468075804" r:id="rId149">
            <o:LockedField>false</o:LockedField>
          </o:OLEObject>
        </w:object>
      </w:r>
      <w:r>
        <w:rPr>
          <w:sz w:val="24"/>
        </w:rPr>
        <w:t>0.832μV</w:t>
      </w:r>
    </w:p>
    <w:p w14:paraId="503A6A8B">
      <w:pPr>
        <w:spacing w:line="360" w:lineRule="auto"/>
        <w:jc w:val="center"/>
        <w:rPr>
          <w:sz w:val="24"/>
        </w:rPr>
      </w:pPr>
      <w:r>
        <w:rPr>
          <w:rFonts w:eastAsia="黑体"/>
        </w:rPr>
        <w:t>表C.5标准不确定度分量及来源</w:t>
      </w:r>
    </w:p>
    <w:tbl>
      <w:tblPr>
        <w:tblStyle w:val="35"/>
        <w:tblW w:w="84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1271"/>
        <w:gridCol w:w="3691"/>
        <w:gridCol w:w="1209"/>
        <w:gridCol w:w="931"/>
      </w:tblGrid>
      <w:tr w14:paraId="55F1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1" w:type="dxa"/>
            <w:noWrap/>
            <w:vAlign w:val="center"/>
          </w:tcPr>
          <w:p w14:paraId="6C162398">
            <w:pPr>
              <w:widowControl/>
              <w:jc w:val="center"/>
              <w:rPr>
                <w:kern w:val="0"/>
                <w:szCs w:val="21"/>
              </w:rPr>
            </w:pPr>
            <w:r>
              <w:rPr>
                <w:kern w:val="0"/>
                <w:szCs w:val="21"/>
              </w:rPr>
              <w:t>符号</w:t>
            </w:r>
          </w:p>
        </w:tc>
        <w:tc>
          <w:tcPr>
            <w:tcW w:w="1271" w:type="dxa"/>
            <w:vAlign w:val="center"/>
          </w:tcPr>
          <w:p w14:paraId="28607AE7">
            <w:pPr>
              <w:widowControl/>
              <w:jc w:val="center"/>
              <w:rPr>
                <w:kern w:val="0"/>
                <w:szCs w:val="21"/>
              </w:rPr>
            </w:pPr>
            <w:r>
              <w:rPr>
                <w:kern w:val="0"/>
                <w:szCs w:val="21"/>
              </w:rPr>
              <w:t>标准不确定度分量</w:t>
            </w:r>
            <w:r>
              <w:rPr>
                <w:i/>
                <w:kern w:val="0"/>
                <w:szCs w:val="21"/>
              </w:rPr>
              <w:t>u</w:t>
            </w:r>
            <w:r>
              <w:rPr>
                <w:i/>
                <w:kern w:val="0"/>
                <w:szCs w:val="21"/>
                <w:vertAlign w:val="subscript"/>
              </w:rPr>
              <w:t>i</w:t>
            </w:r>
          </w:p>
        </w:tc>
        <w:tc>
          <w:tcPr>
            <w:tcW w:w="3691" w:type="dxa"/>
            <w:noWrap/>
            <w:vAlign w:val="center"/>
          </w:tcPr>
          <w:p w14:paraId="1857ACFD">
            <w:pPr>
              <w:widowControl/>
              <w:jc w:val="center"/>
              <w:rPr>
                <w:kern w:val="0"/>
                <w:szCs w:val="21"/>
              </w:rPr>
            </w:pPr>
            <w:r>
              <w:rPr>
                <w:kern w:val="0"/>
                <w:szCs w:val="21"/>
              </w:rPr>
              <w:t>不确定度来源</w:t>
            </w:r>
          </w:p>
        </w:tc>
        <w:tc>
          <w:tcPr>
            <w:tcW w:w="1209" w:type="dxa"/>
            <w:vAlign w:val="center"/>
          </w:tcPr>
          <w:p w14:paraId="76941ACE">
            <w:pPr>
              <w:widowControl/>
              <w:jc w:val="center"/>
              <w:rPr>
                <w:kern w:val="0"/>
                <w:szCs w:val="21"/>
              </w:rPr>
            </w:pPr>
            <w:r>
              <w:rPr>
                <w:kern w:val="0"/>
                <w:szCs w:val="21"/>
              </w:rPr>
              <w:t>标准不确定度分量</w:t>
            </w:r>
            <w:r>
              <w:rPr>
                <w:i/>
                <w:kern w:val="0"/>
                <w:szCs w:val="21"/>
              </w:rPr>
              <w:t>u</w:t>
            </w:r>
            <w:r>
              <w:rPr>
                <w:i/>
                <w:kern w:val="0"/>
                <w:szCs w:val="21"/>
                <w:vertAlign w:val="subscript"/>
              </w:rPr>
              <w:t>i</w:t>
            </w:r>
          </w:p>
        </w:tc>
        <w:tc>
          <w:tcPr>
            <w:tcW w:w="931" w:type="dxa"/>
            <w:vAlign w:val="center"/>
          </w:tcPr>
          <w:p w14:paraId="2AD55A2E">
            <w:pPr>
              <w:widowControl/>
              <w:jc w:val="center"/>
              <w:rPr>
                <w:kern w:val="0"/>
                <w:szCs w:val="21"/>
              </w:rPr>
            </w:pPr>
            <w:r>
              <w:rPr>
                <w:kern w:val="0"/>
                <w:szCs w:val="21"/>
              </w:rPr>
              <w:t>|</w:t>
            </w:r>
            <w:r>
              <w:rPr>
                <w:i/>
                <w:kern w:val="0"/>
                <w:szCs w:val="21"/>
              </w:rPr>
              <w:t>c</w:t>
            </w:r>
            <w:r>
              <w:rPr>
                <w:i/>
                <w:kern w:val="0"/>
                <w:szCs w:val="21"/>
                <w:vertAlign w:val="subscript"/>
              </w:rPr>
              <w:t>i</w:t>
            </w:r>
            <w:r>
              <w:rPr>
                <w:kern w:val="0"/>
                <w:szCs w:val="21"/>
              </w:rPr>
              <w:t>|</w:t>
            </w:r>
            <w:r>
              <w:rPr>
                <w:i/>
                <w:kern w:val="0"/>
                <w:szCs w:val="21"/>
              </w:rPr>
              <w:t>u</w:t>
            </w:r>
            <w:r>
              <w:rPr>
                <w:i/>
                <w:kern w:val="0"/>
                <w:szCs w:val="21"/>
                <w:vertAlign w:val="subscript"/>
              </w:rPr>
              <w:t>i</w:t>
            </w:r>
          </w:p>
        </w:tc>
      </w:tr>
      <w:tr w14:paraId="10FF1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321" w:type="dxa"/>
            <w:vMerge w:val="restart"/>
            <w:noWrap/>
            <w:vAlign w:val="center"/>
          </w:tcPr>
          <w:p w14:paraId="2A2CE642">
            <w:pPr>
              <w:widowControl/>
              <w:jc w:val="center"/>
              <w:rPr>
                <w:kern w:val="0"/>
                <w:szCs w:val="21"/>
              </w:rPr>
            </w:pPr>
            <w:r>
              <w:rPr>
                <w:position w:val="-12"/>
                <w:szCs w:val="21"/>
              </w:rPr>
              <w:object>
                <v:shape id="_x0000_i1107" o:spt="75" type="#_x0000_t75" style="height:16.5pt;width:24pt;" o:ole="t" filled="f" o:preferrelative="t" stroked="f" coordsize="21600,21600">
                  <v:path/>
                  <v:fill on="f" focussize="0,0"/>
                  <v:stroke on="f" joinstyle="miter"/>
                  <v:imagedata r:id="rId103" o:title=""/>
                  <o:lock v:ext="edit" aspectratio="t"/>
                  <w10:wrap type="none"/>
                  <w10:anchorlock/>
                </v:shape>
                <o:OLEObject Type="Embed" ProgID="Equation.DSMT4" ShapeID="_x0000_i1107" DrawAspect="Content" ObjectID="_1468075805" r:id="rId151">
                  <o:LockedField>false</o:LockedField>
                </o:OLEObject>
              </w:object>
            </w:r>
          </w:p>
        </w:tc>
        <w:tc>
          <w:tcPr>
            <w:tcW w:w="1271" w:type="dxa"/>
            <w:vAlign w:val="center"/>
          </w:tcPr>
          <w:p w14:paraId="178A436D">
            <w:pPr>
              <w:widowControl/>
              <w:jc w:val="center"/>
              <w:rPr>
                <w:szCs w:val="21"/>
              </w:rPr>
            </w:pPr>
            <w:r>
              <w:rPr>
                <w:i/>
                <w:szCs w:val="21"/>
              </w:rPr>
              <w:t>u</w:t>
            </w:r>
            <w:r>
              <w:rPr>
                <w:szCs w:val="21"/>
                <w:vertAlign w:val="subscript"/>
              </w:rPr>
              <w:t>1</w:t>
            </w:r>
          </w:p>
        </w:tc>
        <w:tc>
          <w:tcPr>
            <w:tcW w:w="3691" w:type="dxa"/>
            <w:noWrap/>
            <w:vAlign w:val="center"/>
          </w:tcPr>
          <w:p w14:paraId="2E497115">
            <w:pPr>
              <w:widowControl/>
              <w:jc w:val="center"/>
              <w:rPr>
                <w:kern w:val="0"/>
                <w:szCs w:val="21"/>
              </w:rPr>
            </w:pPr>
            <w:r>
              <w:rPr>
                <w:szCs w:val="21"/>
              </w:rPr>
              <w:t>炉温跟踪仪测量重复性引入的不确定度</w:t>
            </w:r>
          </w:p>
        </w:tc>
        <w:tc>
          <w:tcPr>
            <w:tcW w:w="1209" w:type="dxa"/>
            <w:vAlign w:val="center"/>
          </w:tcPr>
          <w:p w14:paraId="52840D37">
            <w:pPr>
              <w:widowControl/>
              <w:jc w:val="center"/>
              <w:rPr>
                <w:szCs w:val="21"/>
              </w:rPr>
            </w:pPr>
            <w:r>
              <w:rPr>
                <w:szCs w:val="21"/>
              </w:rPr>
              <w:t>0.11℃</w:t>
            </w:r>
          </w:p>
        </w:tc>
        <w:tc>
          <w:tcPr>
            <w:tcW w:w="931" w:type="dxa"/>
            <w:vMerge w:val="restart"/>
            <w:vAlign w:val="center"/>
          </w:tcPr>
          <w:p w14:paraId="2EFBE7F9">
            <w:pPr>
              <w:widowControl/>
              <w:jc w:val="center"/>
              <w:rPr>
                <w:szCs w:val="21"/>
              </w:rPr>
            </w:pPr>
            <w:r>
              <w:rPr>
                <w:szCs w:val="21"/>
              </w:rPr>
              <w:t>0.14℃</w:t>
            </w:r>
          </w:p>
        </w:tc>
      </w:tr>
      <w:tr w14:paraId="0EF4E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21" w:type="dxa"/>
            <w:vMerge w:val="continue"/>
            <w:noWrap/>
            <w:vAlign w:val="center"/>
          </w:tcPr>
          <w:p w14:paraId="24625BF9">
            <w:pPr>
              <w:widowControl/>
              <w:jc w:val="center"/>
              <w:rPr>
                <w:kern w:val="0"/>
                <w:szCs w:val="21"/>
              </w:rPr>
            </w:pPr>
          </w:p>
        </w:tc>
        <w:tc>
          <w:tcPr>
            <w:tcW w:w="1271" w:type="dxa"/>
            <w:vAlign w:val="center"/>
          </w:tcPr>
          <w:p w14:paraId="6C6F2E5B">
            <w:pPr>
              <w:widowControl/>
              <w:jc w:val="center"/>
              <w:rPr>
                <w:szCs w:val="21"/>
              </w:rPr>
            </w:pPr>
            <w:r>
              <w:rPr>
                <w:i/>
                <w:szCs w:val="21"/>
              </w:rPr>
              <w:t>u</w:t>
            </w:r>
            <w:r>
              <w:rPr>
                <w:szCs w:val="21"/>
                <w:vertAlign w:val="subscript"/>
              </w:rPr>
              <w:t>2</w:t>
            </w:r>
          </w:p>
        </w:tc>
        <w:tc>
          <w:tcPr>
            <w:tcW w:w="3691" w:type="dxa"/>
            <w:noWrap/>
            <w:vAlign w:val="center"/>
          </w:tcPr>
          <w:p w14:paraId="00523D2B">
            <w:pPr>
              <w:widowControl/>
              <w:jc w:val="center"/>
              <w:rPr>
                <w:kern w:val="0"/>
                <w:szCs w:val="21"/>
              </w:rPr>
            </w:pPr>
            <w:r>
              <w:rPr>
                <w:szCs w:val="21"/>
              </w:rPr>
              <w:t>炉温跟踪仪分辨力引入的不确定度</w:t>
            </w:r>
          </w:p>
        </w:tc>
        <w:tc>
          <w:tcPr>
            <w:tcW w:w="1209" w:type="dxa"/>
            <w:vAlign w:val="center"/>
          </w:tcPr>
          <w:p w14:paraId="6E014182">
            <w:pPr>
              <w:widowControl/>
              <w:jc w:val="center"/>
              <w:rPr>
                <w:szCs w:val="21"/>
              </w:rPr>
            </w:pPr>
            <w:r>
              <w:rPr>
                <w:szCs w:val="21"/>
              </w:rPr>
              <w:t>0.03℃</w:t>
            </w:r>
          </w:p>
        </w:tc>
        <w:tc>
          <w:tcPr>
            <w:tcW w:w="931" w:type="dxa"/>
            <w:vMerge w:val="continue"/>
            <w:vAlign w:val="center"/>
          </w:tcPr>
          <w:p w14:paraId="413AFC7B">
            <w:pPr>
              <w:widowControl/>
              <w:jc w:val="center"/>
              <w:rPr>
                <w:szCs w:val="21"/>
              </w:rPr>
            </w:pPr>
          </w:p>
        </w:tc>
      </w:tr>
      <w:tr w14:paraId="13991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21" w:type="dxa"/>
            <w:vMerge w:val="continue"/>
            <w:noWrap/>
            <w:vAlign w:val="center"/>
          </w:tcPr>
          <w:p w14:paraId="63E58F31">
            <w:pPr>
              <w:widowControl/>
              <w:jc w:val="center"/>
              <w:rPr>
                <w:kern w:val="0"/>
                <w:szCs w:val="21"/>
              </w:rPr>
            </w:pPr>
          </w:p>
        </w:tc>
        <w:tc>
          <w:tcPr>
            <w:tcW w:w="1271" w:type="dxa"/>
            <w:vAlign w:val="center"/>
          </w:tcPr>
          <w:p w14:paraId="78B3351F">
            <w:pPr>
              <w:widowControl/>
              <w:jc w:val="center"/>
              <w:rPr>
                <w:szCs w:val="21"/>
              </w:rPr>
            </w:pPr>
            <w:r>
              <w:rPr>
                <w:i/>
                <w:szCs w:val="21"/>
              </w:rPr>
              <w:t>u</w:t>
            </w:r>
            <w:r>
              <w:rPr>
                <w:szCs w:val="21"/>
                <w:vertAlign w:val="subscript"/>
              </w:rPr>
              <w:t>3</w:t>
            </w:r>
          </w:p>
        </w:tc>
        <w:tc>
          <w:tcPr>
            <w:tcW w:w="3691" w:type="dxa"/>
            <w:noWrap/>
            <w:vAlign w:val="center"/>
          </w:tcPr>
          <w:p w14:paraId="0E09DCCD">
            <w:pPr>
              <w:widowControl/>
              <w:jc w:val="center"/>
              <w:rPr>
                <w:szCs w:val="21"/>
              </w:rPr>
            </w:pPr>
            <w:r>
              <w:rPr>
                <w:szCs w:val="21"/>
              </w:rPr>
              <w:t>炉内金属均温块径向温场不均匀性引入的不确定度</w:t>
            </w:r>
          </w:p>
        </w:tc>
        <w:tc>
          <w:tcPr>
            <w:tcW w:w="1209" w:type="dxa"/>
            <w:vAlign w:val="center"/>
          </w:tcPr>
          <w:p w14:paraId="2B6865BD">
            <w:pPr>
              <w:widowControl/>
              <w:jc w:val="center"/>
              <w:rPr>
                <w:szCs w:val="21"/>
              </w:rPr>
            </w:pPr>
            <w:r>
              <w:rPr>
                <w:szCs w:val="21"/>
              </w:rPr>
              <w:t>0.06℃</w:t>
            </w:r>
          </w:p>
        </w:tc>
        <w:tc>
          <w:tcPr>
            <w:tcW w:w="931" w:type="dxa"/>
            <w:vMerge w:val="continue"/>
            <w:vAlign w:val="center"/>
          </w:tcPr>
          <w:p w14:paraId="5F13BF27">
            <w:pPr>
              <w:widowControl/>
              <w:jc w:val="center"/>
              <w:rPr>
                <w:szCs w:val="21"/>
              </w:rPr>
            </w:pPr>
          </w:p>
        </w:tc>
      </w:tr>
      <w:tr w14:paraId="4B6B9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21" w:type="dxa"/>
            <w:vMerge w:val="continue"/>
            <w:noWrap/>
            <w:vAlign w:val="center"/>
          </w:tcPr>
          <w:p w14:paraId="740F70A7">
            <w:pPr>
              <w:widowControl/>
              <w:jc w:val="center"/>
              <w:rPr>
                <w:kern w:val="0"/>
                <w:szCs w:val="21"/>
              </w:rPr>
            </w:pPr>
          </w:p>
        </w:tc>
        <w:tc>
          <w:tcPr>
            <w:tcW w:w="1271" w:type="dxa"/>
            <w:vAlign w:val="center"/>
          </w:tcPr>
          <w:p w14:paraId="0F61ACFC">
            <w:pPr>
              <w:widowControl/>
              <w:jc w:val="center"/>
              <w:rPr>
                <w:szCs w:val="21"/>
              </w:rPr>
            </w:pPr>
            <w:r>
              <w:rPr>
                <w:i/>
                <w:szCs w:val="21"/>
              </w:rPr>
              <w:t>u</w:t>
            </w:r>
            <w:r>
              <w:rPr>
                <w:szCs w:val="21"/>
                <w:vertAlign w:val="subscript"/>
              </w:rPr>
              <w:t>4</w:t>
            </w:r>
          </w:p>
        </w:tc>
        <w:tc>
          <w:tcPr>
            <w:tcW w:w="3691" w:type="dxa"/>
            <w:noWrap/>
            <w:vAlign w:val="center"/>
          </w:tcPr>
          <w:p w14:paraId="3135EBD5">
            <w:pPr>
              <w:widowControl/>
              <w:jc w:val="center"/>
              <w:rPr>
                <w:szCs w:val="21"/>
              </w:rPr>
            </w:pPr>
            <w:r>
              <w:rPr>
                <w:szCs w:val="21"/>
              </w:rPr>
              <w:t>炉温波动引入的不确定度</w:t>
            </w:r>
          </w:p>
        </w:tc>
        <w:tc>
          <w:tcPr>
            <w:tcW w:w="1209" w:type="dxa"/>
            <w:vAlign w:val="center"/>
          </w:tcPr>
          <w:p w14:paraId="7CA50B43">
            <w:pPr>
              <w:widowControl/>
              <w:jc w:val="center"/>
              <w:rPr>
                <w:szCs w:val="21"/>
              </w:rPr>
            </w:pPr>
            <w:r>
              <w:rPr>
                <w:szCs w:val="21"/>
              </w:rPr>
              <w:t>0.05℃</w:t>
            </w:r>
          </w:p>
        </w:tc>
        <w:tc>
          <w:tcPr>
            <w:tcW w:w="931" w:type="dxa"/>
            <w:vMerge w:val="continue"/>
            <w:vAlign w:val="center"/>
          </w:tcPr>
          <w:p w14:paraId="62AE1514">
            <w:pPr>
              <w:widowControl/>
              <w:jc w:val="center"/>
              <w:rPr>
                <w:szCs w:val="21"/>
              </w:rPr>
            </w:pPr>
          </w:p>
        </w:tc>
      </w:tr>
      <w:tr w14:paraId="5577F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1321" w:type="dxa"/>
            <w:vMerge w:val="restart"/>
            <w:vAlign w:val="center"/>
          </w:tcPr>
          <w:p w14:paraId="79993D0A">
            <w:pPr>
              <w:widowControl/>
              <w:jc w:val="center"/>
              <w:rPr>
                <w:kern w:val="0"/>
                <w:szCs w:val="21"/>
              </w:rPr>
            </w:pPr>
            <w:r>
              <w:rPr>
                <w:position w:val="-14"/>
              </w:rPr>
              <w:object>
                <v:shape id="_x0000_i1108" o:spt="75" type="#_x0000_t75" style="height:19.5pt;width:49.5pt;" o:ole="t" filled="f" o:preferrelative="t" stroked="f" coordsize="21600,21600">
                  <v:path/>
                  <v:fill on="f" focussize="0,0"/>
                  <v:stroke on="f" joinstyle="miter"/>
                  <v:imagedata r:id="rId107" o:title=""/>
                  <o:lock v:ext="edit" aspectratio="t"/>
                  <w10:wrap type="none"/>
                  <w10:anchorlock/>
                </v:shape>
                <o:OLEObject Type="Embed" ProgID="Equation.DSMT4" ShapeID="_x0000_i1108" DrawAspect="Content" ObjectID="_1468075806" r:id="rId152">
                  <o:LockedField>false</o:LockedField>
                </o:OLEObject>
              </w:object>
            </w:r>
          </w:p>
        </w:tc>
        <w:tc>
          <w:tcPr>
            <w:tcW w:w="1271" w:type="dxa"/>
            <w:vAlign w:val="center"/>
          </w:tcPr>
          <w:p w14:paraId="06C7AC6F">
            <w:pPr>
              <w:widowControl/>
              <w:jc w:val="center"/>
              <w:rPr>
                <w:szCs w:val="21"/>
              </w:rPr>
            </w:pPr>
            <w:r>
              <w:rPr>
                <w:i/>
                <w:szCs w:val="21"/>
              </w:rPr>
              <w:t>u</w:t>
            </w:r>
            <w:r>
              <w:rPr>
                <w:szCs w:val="21"/>
                <w:vertAlign w:val="subscript"/>
              </w:rPr>
              <w:t>5</w:t>
            </w:r>
          </w:p>
        </w:tc>
        <w:tc>
          <w:tcPr>
            <w:tcW w:w="3691" w:type="dxa"/>
            <w:noWrap/>
            <w:vAlign w:val="center"/>
          </w:tcPr>
          <w:p w14:paraId="352EE548">
            <w:pPr>
              <w:widowControl/>
              <w:jc w:val="center"/>
              <w:rPr>
                <w:kern w:val="0"/>
                <w:szCs w:val="21"/>
              </w:rPr>
            </w:pPr>
            <w:r>
              <w:rPr>
                <w:szCs w:val="21"/>
              </w:rPr>
              <w:t>标准铂铑10-铂热电偶检定结果引入的不确定度</w:t>
            </w:r>
          </w:p>
        </w:tc>
        <w:tc>
          <w:tcPr>
            <w:tcW w:w="1209" w:type="dxa"/>
            <w:vAlign w:val="center"/>
          </w:tcPr>
          <w:p w14:paraId="631ED585">
            <w:pPr>
              <w:widowControl/>
              <w:jc w:val="center"/>
              <w:rPr>
                <w:szCs w:val="21"/>
              </w:rPr>
            </w:pPr>
            <w:r>
              <w:rPr>
                <w:szCs w:val="21"/>
              </w:rPr>
              <w:t>2.885μV</w:t>
            </w:r>
          </w:p>
        </w:tc>
        <w:tc>
          <w:tcPr>
            <w:tcW w:w="931" w:type="dxa"/>
            <w:vMerge w:val="restart"/>
            <w:vAlign w:val="center"/>
          </w:tcPr>
          <w:p w14:paraId="30F22B68">
            <w:pPr>
              <w:widowControl/>
              <w:jc w:val="center"/>
              <w:rPr>
                <w:szCs w:val="21"/>
              </w:rPr>
            </w:pPr>
            <w:r>
              <w:rPr>
                <w:szCs w:val="21"/>
              </w:rPr>
              <w:t>0.29℃</w:t>
            </w:r>
          </w:p>
        </w:tc>
      </w:tr>
      <w:tr w14:paraId="66EFC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1" w:type="dxa"/>
            <w:vMerge w:val="continue"/>
            <w:vAlign w:val="center"/>
          </w:tcPr>
          <w:p w14:paraId="7571CDFF">
            <w:pPr>
              <w:widowControl/>
              <w:jc w:val="center"/>
              <w:rPr>
                <w:kern w:val="0"/>
                <w:szCs w:val="21"/>
              </w:rPr>
            </w:pPr>
          </w:p>
        </w:tc>
        <w:tc>
          <w:tcPr>
            <w:tcW w:w="1271" w:type="dxa"/>
            <w:vAlign w:val="center"/>
          </w:tcPr>
          <w:p w14:paraId="29F8AF77">
            <w:pPr>
              <w:widowControl/>
              <w:jc w:val="center"/>
              <w:rPr>
                <w:szCs w:val="21"/>
              </w:rPr>
            </w:pPr>
            <w:r>
              <w:rPr>
                <w:i/>
                <w:szCs w:val="21"/>
              </w:rPr>
              <w:t>u</w:t>
            </w:r>
            <w:r>
              <w:rPr>
                <w:szCs w:val="21"/>
                <w:vertAlign w:val="subscript"/>
              </w:rPr>
              <w:t>6</w:t>
            </w:r>
          </w:p>
        </w:tc>
        <w:tc>
          <w:tcPr>
            <w:tcW w:w="3691" w:type="dxa"/>
            <w:noWrap/>
            <w:vAlign w:val="center"/>
          </w:tcPr>
          <w:p w14:paraId="44703D93">
            <w:pPr>
              <w:widowControl/>
              <w:jc w:val="center"/>
              <w:rPr>
                <w:kern w:val="0"/>
                <w:szCs w:val="21"/>
              </w:rPr>
            </w:pPr>
            <w:r>
              <w:rPr>
                <w:szCs w:val="21"/>
              </w:rPr>
              <w:t>标准铂铑10-铂热电偶的年稳定性</w:t>
            </w:r>
          </w:p>
        </w:tc>
        <w:tc>
          <w:tcPr>
            <w:tcW w:w="1209" w:type="dxa"/>
            <w:vAlign w:val="center"/>
          </w:tcPr>
          <w:p w14:paraId="20F705F9">
            <w:pPr>
              <w:widowControl/>
              <w:jc w:val="center"/>
              <w:rPr>
                <w:szCs w:val="21"/>
              </w:rPr>
            </w:pPr>
            <w:r>
              <w:rPr>
                <w:szCs w:val="21"/>
              </w:rPr>
              <w:t>1.667μV</w:t>
            </w:r>
          </w:p>
        </w:tc>
        <w:tc>
          <w:tcPr>
            <w:tcW w:w="931" w:type="dxa"/>
            <w:vMerge w:val="continue"/>
            <w:vAlign w:val="center"/>
          </w:tcPr>
          <w:p w14:paraId="3FACE591">
            <w:pPr>
              <w:widowControl/>
              <w:jc w:val="center"/>
              <w:rPr>
                <w:szCs w:val="21"/>
              </w:rPr>
            </w:pPr>
          </w:p>
        </w:tc>
      </w:tr>
      <w:tr w14:paraId="3EEB5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1" w:type="dxa"/>
            <w:vMerge w:val="restart"/>
            <w:vAlign w:val="center"/>
          </w:tcPr>
          <w:p w14:paraId="181D0342">
            <w:pPr>
              <w:widowControl/>
              <w:jc w:val="center"/>
              <w:rPr>
                <w:kern w:val="0"/>
                <w:szCs w:val="21"/>
              </w:rPr>
            </w:pPr>
            <w:r>
              <w:rPr>
                <w:position w:val="-14"/>
              </w:rPr>
              <w:object>
                <v:shape id="_x0000_i1109" o:spt="75" type="#_x0000_t75" style="height:19.5pt;width:43.5pt;" o:ole="t" filled="f" o:preferrelative="t" stroked="f" coordsize="21600,21600">
                  <v:path/>
                  <v:fill on="f" focussize="0,0"/>
                  <v:stroke on="f" joinstyle="miter"/>
                  <v:imagedata r:id="rId111" o:title=""/>
                  <o:lock v:ext="edit" aspectratio="t"/>
                  <w10:wrap type="none"/>
                  <w10:anchorlock/>
                </v:shape>
                <o:OLEObject Type="Embed" ProgID="Equation.DSMT4" ShapeID="_x0000_i1109" DrawAspect="Content" ObjectID="_1468075807" r:id="rId153">
                  <o:LockedField>false</o:LockedField>
                </o:OLEObject>
              </w:object>
            </w:r>
          </w:p>
        </w:tc>
        <w:tc>
          <w:tcPr>
            <w:tcW w:w="1271" w:type="dxa"/>
            <w:vAlign w:val="center"/>
          </w:tcPr>
          <w:p w14:paraId="2C12A949">
            <w:pPr>
              <w:widowControl/>
              <w:jc w:val="center"/>
              <w:rPr>
                <w:szCs w:val="21"/>
              </w:rPr>
            </w:pPr>
            <w:r>
              <w:rPr>
                <w:i/>
                <w:szCs w:val="21"/>
              </w:rPr>
              <w:t>u</w:t>
            </w:r>
            <w:r>
              <w:rPr>
                <w:szCs w:val="21"/>
                <w:vertAlign w:val="subscript"/>
              </w:rPr>
              <w:t>7</w:t>
            </w:r>
          </w:p>
        </w:tc>
        <w:tc>
          <w:tcPr>
            <w:tcW w:w="3691" w:type="dxa"/>
            <w:noWrap/>
            <w:vAlign w:val="center"/>
          </w:tcPr>
          <w:p w14:paraId="62F512BC">
            <w:pPr>
              <w:widowControl/>
              <w:jc w:val="center"/>
              <w:rPr>
                <w:kern w:val="0"/>
                <w:szCs w:val="21"/>
              </w:rPr>
            </w:pPr>
            <w:r>
              <w:rPr>
                <w:szCs w:val="21"/>
              </w:rPr>
              <w:t>标准铂铑10-铂热电偶重复测量引入的不确定度</w:t>
            </w:r>
          </w:p>
        </w:tc>
        <w:tc>
          <w:tcPr>
            <w:tcW w:w="1209" w:type="dxa"/>
            <w:vAlign w:val="center"/>
          </w:tcPr>
          <w:p w14:paraId="6EDC9F7E">
            <w:pPr>
              <w:widowControl/>
              <w:jc w:val="center"/>
              <w:rPr>
                <w:szCs w:val="21"/>
              </w:rPr>
            </w:pPr>
            <w:r>
              <w:rPr>
                <w:szCs w:val="21"/>
              </w:rPr>
              <w:t>0.125μV</w:t>
            </w:r>
          </w:p>
        </w:tc>
        <w:tc>
          <w:tcPr>
            <w:tcW w:w="931" w:type="dxa"/>
            <w:vMerge w:val="restart"/>
            <w:vAlign w:val="center"/>
          </w:tcPr>
          <w:p w14:paraId="20DFA5E1">
            <w:pPr>
              <w:widowControl/>
              <w:jc w:val="center"/>
              <w:rPr>
                <w:szCs w:val="21"/>
              </w:rPr>
            </w:pPr>
            <w:r>
              <w:rPr>
                <w:szCs w:val="21"/>
              </w:rPr>
              <w:t>0.07℃</w:t>
            </w:r>
          </w:p>
        </w:tc>
      </w:tr>
      <w:tr w14:paraId="1702B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1" w:type="dxa"/>
            <w:vMerge w:val="continue"/>
            <w:vAlign w:val="center"/>
          </w:tcPr>
          <w:p w14:paraId="660F7DB8">
            <w:pPr>
              <w:widowControl/>
              <w:jc w:val="center"/>
              <w:rPr>
                <w:kern w:val="0"/>
                <w:szCs w:val="21"/>
              </w:rPr>
            </w:pPr>
          </w:p>
        </w:tc>
        <w:tc>
          <w:tcPr>
            <w:tcW w:w="1271" w:type="dxa"/>
            <w:vAlign w:val="center"/>
          </w:tcPr>
          <w:p w14:paraId="7B56F0CE">
            <w:pPr>
              <w:widowControl/>
              <w:jc w:val="center"/>
              <w:rPr>
                <w:szCs w:val="21"/>
              </w:rPr>
            </w:pPr>
            <w:r>
              <w:rPr>
                <w:i/>
                <w:szCs w:val="21"/>
              </w:rPr>
              <w:t>u</w:t>
            </w:r>
            <w:r>
              <w:rPr>
                <w:szCs w:val="21"/>
                <w:vertAlign w:val="subscript"/>
              </w:rPr>
              <w:t>8</w:t>
            </w:r>
          </w:p>
        </w:tc>
        <w:tc>
          <w:tcPr>
            <w:tcW w:w="3691" w:type="dxa"/>
            <w:noWrap/>
            <w:vAlign w:val="center"/>
          </w:tcPr>
          <w:p w14:paraId="5160FD6E">
            <w:pPr>
              <w:widowControl/>
              <w:jc w:val="center"/>
              <w:rPr>
                <w:kern w:val="0"/>
                <w:szCs w:val="21"/>
              </w:rPr>
            </w:pPr>
            <w:r>
              <w:rPr>
                <w:szCs w:val="21"/>
              </w:rPr>
              <w:t>电测仪表测量误差引入的不确定度</w:t>
            </w:r>
          </w:p>
        </w:tc>
        <w:tc>
          <w:tcPr>
            <w:tcW w:w="1209" w:type="dxa"/>
            <w:vAlign w:val="center"/>
          </w:tcPr>
          <w:p w14:paraId="10E742B3">
            <w:pPr>
              <w:widowControl/>
              <w:jc w:val="center"/>
              <w:rPr>
                <w:szCs w:val="21"/>
              </w:rPr>
            </w:pPr>
            <w:r>
              <w:rPr>
                <w:szCs w:val="21"/>
              </w:rPr>
              <w:t>0.722μV</w:t>
            </w:r>
          </w:p>
        </w:tc>
        <w:tc>
          <w:tcPr>
            <w:tcW w:w="931" w:type="dxa"/>
            <w:vMerge w:val="continue"/>
            <w:vAlign w:val="center"/>
          </w:tcPr>
          <w:p w14:paraId="12F6896C">
            <w:pPr>
              <w:widowControl/>
              <w:jc w:val="center"/>
              <w:rPr>
                <w:szCs w:val="21"/>
              </w:rPr>
            </w:pPr>
          </w:p>
        </w:tc>
      </w:tr>
      <w:tr w14:paraId="4799E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1" w:type="dxa"/>
            <w:vMerge w:val="continue"/>
            <w:vAlign w:val="center"/>
          </w:tcPr>
          <w:p w14:paraId="5E38E825">
            <w:pPr>
              <w:widowControl/>
              <w:jc w:val="center"/>
              <w:rPr>
                <w:kern w:val="0"/>
                <w:szCs w:val="21"/>
              </w:rPr>
            </w:pPr>
          </w:p>
        </w:tc>
        <w:tc>
          <w:tcPr>
            <w:tcW w:w="1271" w:type="dxa"/>
            <w:vAlign w:val="center"/>
          </w:tcPr>
          <w:p w14:paraId="482ECE40">
            <w:pPr>
              <w:widowControl/>
              <w:jc w:val="center"/>
              <w:rPr>
                <w:szCs w:val="21"/>
              </w:rPr>
            </w:pPr>
            <w:r>
              <w:rPr>
                <w:i/>
                <w:szCs w:val="21"/>
              </w:rPr>
              <w:t>u</w:t>
            </w:r>
            <w:r>
              <w:rPr>
                <w:szCs w:val="21"/>
                <w:vertAlign w:val="subscript"/>
              </w:rPr>
              <w:t>9</w:t>
            </w:r>
          </w:p>
        </w:tc>
        <w:tc>
          <w:tcPr>
            <w:tcW w:w="3691" w:type="dxa"/>
            <w:noWrap/>
            <w:vAlign w:val="center"/>
          </w:tcPr>
          <w:p w14:paraId="46AB3BED">
            <w:pPr>
              <w:widowControl/>
              <w:jc w:val="center"/>
              <w:rPr>
                <w:kern w:val="0"/>
                <w:szCs w:val="21"/>
              </w:rPr>
            </w:pPr>
            <w:r>
              <w:rPr>
                <w:szCs w:val="21"/>
              </w:rPr>
              <w:t>转换开关读数寄生热电势引入的不确定度</w:t>
            </w:r>
          </w:p>
        </w:tc>
        <w:tc>
          <w:tcPr>
            <w:tcW w:w="1209" w:type="dxa"/>
            <w:vAlign w:val="center"/>
          </w:tcPr>
          <w:p w14:paraId="3226C24C">
            <w:pPr>
              <w:widowControl/>
              <w:jc w:val="center"/>
              <w:rPr>
                <w:szCs w:val="21"/>
              </w:rPr>
            </w:pPr>
            <w:r>
              <w:rPr>
                <w:szCs w:val="21"/>
              </w:rPr>
              <w:t>0.289μV</w:t>
            </w:r>
          </w:p>
        </w:tc>
        <w:tc>
          <w:tcPr>
            <w:tcW w:w="931" w:type="dxa"/>
            <w:vMerge w:val="continue"/>
            <w:vAlign w:val="center"/>
          </w:tcPr>
          <w:p w14:paraId="13F8B73A">
            <w:pPr>
              <w:widowControl/>
              <w:jc w:val="center"/>
              <w:rPr>
                <w:szCs w:val="21"/>
              </w:rPr>
            </w:pPr>
          </w:p>
        </w:tc>
      </w:tr>
      <w:tr w14:paraId="0491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1" w:type="dxa"/>
            <w:vMerge w:val="continue"/>
            <w:vAlign w:val="center"/>
          </w:tcPr>
          <w:p w14:paraId="76863F7E">
            <w:pPr>
              <w:widowControl/>
              <w:jc w:val="center"/>
              <w:rPr>
                <w:kern w:val="0"/>
                <w:szCs w:val="21"/>
              </w:rPr>
            </w:pPr>
          </w:p>
        </w:tc>
        <w:tc>
          <w:tcPr>
            <w:tcW w:w="1271" w:type="dxa"/>
            <w:vAlign w:val="center"/>
          </w:tcPr>
          <w:p w14:paraId="173EB83E">
            <w:pPr>
              <w:widowControl/>
              <w:jc w:val="center"/>
              <w:rPr>
                <w:szCs w:val="21"/>
              </w:rPr>
            </w:pPr>
            <w:r>
              <w:rPr>
                <w:i/>
                <w:szCs w:val="21"/>
              </w:rPr>
              <w:t>u</w:t>
            </w:r>
            <w:r>
              <w:rPr>
                <w:szCs w:val="21"/>
                <w:vertAlign w:val="subscript"/>
              </w:rPr>
              <w:t>10</w:t>
            </w:r>
          </w:p>
        </w:tc>
        <w:tc>
          <w:tcPr>
            <w:tcW w:w="3691" w:type="dxa"/>
            <w:noWrap/>
            <w:vAlign w:val="center"/>
          </w:tcPr>
          <w:p w14:paraId="5C2ED28D">
            <w:pPr>
              <w:widowControl/>
              <w:jc w:val="center"/>
              <w:rPr>
                <w:kern w:val="0"/>
                <w:szCs w:val="21"/>
              </w:rPr>
            </w:pPr>
            <w:r>
              <w:rPr>
                <w:szCs w:val="21"/>
              </w:rPr>
              <w:t>热电偶参考端温度不均匀引入的不确定度</w:t>
            </w:r>
          </w:p>
        </w:tc>
        <w:tc>
          <w:tcPr>
            <w:tcW w:w="1209" w:type="dxa"/>
            <w:vAlign w:val="center"/>
          </w:tcPr>
          <w:p w14:paraId="0B5055A0">
            <w:pPr>
              <w:widowControl/>
              <w:jc w:val="center"/>
              <w:rPr>
                <w:szCs w:val="21"/>
              </w:rPr>
            </w:pPr>
            <w:r>
              <w:rPr>
                <w:szCs w:val="21"/>
              </w:rPr>
              <w:t>0.156μV</w:t>
            </w:r>
          </w:p>
        </w:tc>
        <w:tc>
          <w:tcPr>
            <w:tcW w:w="931" w:type="dxa"/>
            <w:vMerge w:val="continue"/>
            <w:vAlign w:val="center"/>
          </w:tcPr>
          <w:p w14:paraId="23F18BE8">
            <w:pPr>
              <w:widowControl/>
              <w:jc w:val="center"/>
              <w:rPr>
                <w:szCs w:val="21"/>
              </w:rPr>
            </w:pPr>
          </w:p>
        </w:tc>
      </w:tr>
    </w:tbl>
    <w:p w14:paraId="49C451B9">
      <w:pPr>
        <w:spacing w:line="360" w:lineRule="auto"/>
        <w:rPr>
          <w:sz w:val="24"/>
        </w:rPr>
      </w:pPr>
      <w:r>
        <w:rPr>
          <w:sz w:val="24"/>
        </w:rPr>
        <w:t>则：</w:t>
      </w:r>
    </w:p>
    <w:p w14:paraId="0B800D50">
      <w:pPr>
        <w:spacing w:line="360" w:lineRule="auto"/>
        <w:jc w:val="center"/>
        <w:rPr>
          <w:sz w:val="24"/>
        </w:rPr>
      </w:pPr>
      <w:r>
        <w:rPr>
          <w:position w:val="-20"/>
        </w:rPr>
        <w:object>
          <v:shape id="_x0000_i1110" o:spt="75" type="#_x0000_t75" style="height:30pt;width:258pt;" o:ole="t" filled="f" o:preferrelative="t" stroked="f" coordsize="21600,21600">
            <v:path/>
            <v:fill on="f" focussize="0,0"/>
            <v:stroke on="f" joinstyle="miter"/>
            <v:imagedata r:id="rId155" o:title=""/>
            <o:lock v:ext="edit" aspectratio="t"/>
            <w10:wrap type="none"/>
            <w10:anchorlock/>
          </v:shape>
          <o:OLEObject Type="Embed" ProgID="Equation.DSMT4" ShapeID="_x0000_i1110" DrawAspect="Content" ObjectID="_1468075808" r:id="rId154">
            <o:LockedField>false</o:LockedField>
          </o:OLEObject>
        </w:object>
      </w:r>
      <w:r>
        <w:rPr>
          <w:sz w:val="24"/>
        </w:rPr>
        <w:t>0.33℃</w:t>
      </w:r>
    </w:p>
    <w:p w14:paraId="4A8B6724">
      <w:pPr>
        <w:spacing w:line="288" w:lineRule="auto"/>
        <w:rPr>
          <w:sz w:val="24"/>
        </w:rPr>
      </w:pPr>
      <w:r>
        <w:rPr>
          <w:sz w:val="24"/>
        </w:rPr>
        <w:t>C.5 扩展不确定度</w:t>
      </w:r>
    </w:p>
    <w:p w14:paraId="6100A8F1">
      <w:pPr>
        <w:spacing w:line="360" w:lineRule="auto"/>
        <w:ind w:firstLine="480" w:firstLineChars="200"/>
        <w:rPr>
          <w:sz w:val="24"/>
          <w:szCs w:val="20"/>
        </w:rPr>
      </w:pPr>
      <w:r>
        <w:rPr>
          <w:sz w:val="24"/>
          <w:szCs w:val="20"/>
        </w:rPr>
        <w:t>取</w:t>
      </w:r>
      <w:r>
        <w:rPr>
          <w:i/>
          <w:sz w:val="24"/>
          <w:szCs w:val="20"/>
        </w:rPr>
        <w:t>k</w:t>
      </w:r>
      <w:r>
        <w:rPr>
          <w:sz w:val="24"/>
          <w:szCs w:val="20"/>
        </w:rPr>
        <w:t>=2，</w:t>
      </w:r>
      <w:r>
        <w:rPr>
          <w:spacing w:val="4"/>
          <w:sz w:val="24"/>
          <w:szCs w:val="20"/>
        </w:rPr>
        <w:t>则</w:t>
      </w:r>
      <w:r>
        <w:rPr>
          <w:sz w:val="24"/>
          <w:szCs w:val="20"/>
        </w:rPr>
        <w:t>扩展不确定度评定为：</w:t>
      </w:r>
    </w:p>
    <w:p w14:paraId="715E0FB9">
      <w:pPr>
        <w:spacing w:line="300" w:lineRule="auto"/>
        <w:jc w:val="center"/>
        <w:rPr>
          <w:sz w:val="24"/>
        </w:rPr>
      </w:pPr>
      <w:r>
        <w:rPr>
          <w:position w:val="-12"/>
          <w:sz w:val="24"/>
        </w:rPr>
        <w:object>
          <v:shape id="_x0000_i1111" o:spt="75" type="#_x0000_t75" style="height:18pt;width:56.25pt;" o:ole="t" filled="f" o:preferrelative="t" stroked="f" coordsize="21600,21600">
            <v:path/>
            <v:fill on="f" focussize="0,0"/>
            <v:stroke on="f" joinstyle="miter"/>
            <v:imagedata r:id="rId157" o:title=""/>
            <o:lock v:ext="edit" aspectratio="t"/>
            <w10:wrap type="none"/>
            <w10:anchorlock/>
          </v:shape>
          <o:OLEObject Type="Embed" ProgID="Equation.DSMT4" ShapeID="_x0000_i1111" DrawAspect="Content" ObjectID="_1468075809" r:id="rId156">
            <o:LockedField>false</o:LockedField>
          </o:OLEObject>
        </w:object>
      </w:r>
      <w:r>
        <w:rPr>
          <w:sz w:val="24"/>
        </w:rPr>
        <w:t>0.7℃（</w:t>
      </w:r>
      <w:r>
        <w:rPr>
          <w:i/>
          <w:iCs/>
          <w:sz w:val="24"/>
        </w:rPr>
        <w:t>k</w:t>
      </w:r>
      <w:r>
        <w:rPr>
          <w:sz w:val="24"/>
        </w:rPr>
        <w:t>=2）</w:t>
      </w:r>
    </w:p>
    <w:bookmarkEnd w:id="30"/>
    <w:p w14:paraId="408E14CF">
      <w:pPr>
        <w:spacing w:line="360" w:lineRule="auto"/>
        <w:rPr>
          <w:sz w:val="24"/>
          <w:u w:val="single"/>
        </w:rPr>
      </w:pPr>
      <w:r>
        <w:rPr>
          <w:sz w:val="24"/>
        </w:rPr>
        <w:t xml:space="preserve">                    </w:t>
      </w:r>
      <w:r>
        <w:rPr>
          <w:sz w:val="24"/>
          <w:u w:val="single"/>
        </w:rPr>
        <w:t xml:space="preserve">                               </w:t>
      </w:r>
    </w:p>
    <w:p w14:paraId="25C1128E">
      <w:pPr>
        <w:widowControl/>
        <w:spacing w:line="480" w:lineRule="exact"/>
        <w:rPr>
          <w:sz w:val="24"/>
        </w:rPr>
      </w:pPr>
    </w:p>
    <w:sectPr>
      <w:footerReference r:id="rId7" w:type="default"/>
      <w:type w:val="continuous"/>
      <w:pgSz w:w="11906" w:h="16838"/>
      <w:pgMar w:top="1418" w:right="1531" w:bottom="1418" w:left="1531"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方正小标宋_GBK">
    <w:altName w:val="Malgun Gothic Semilight"/>
    <w:panose1 w:val="00000000000000000000"/>
    <w:charset w:val="86"/>
    <w:family w:val="script"/>
    <w:pitch w:val="default"/>
    <w:sig w:usb0="00000000" w:usb1="00000000" w:usb2="00000010"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0BB94">
    <w:pPr>
      <w:pStyle w:val="2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11FFB">
    <w:pPr>
      <w:pStyle w:val="28"/>
      <w:framePr w:wrap="around" w:vAnchor="text" w:hAnchor="margin" w:xAlign="center" w:y="1"/>
      <w:rPr>
        <w:rStyle w:val="38"/>
      </w:rPr>
    </w:pPr>
    <w:r>
      <w:rPr>
        <w:rStyle w:val="38"/>
      </w:rPr>
      <w:fldChar w:fldCharType="begin"/>
    </w:r>
    <w:r>
      <w:rPr>
        <w:rStyle w:val="38"/>
      </w:rPr>
      <w:instrText xml:space="preserve">PAGE  </w:instrText>
    </w:r>
    <w:r>
      <w:rPr>
        <w:rStyle w:val="38"/>
      </w:rPr>
      <w:fldChar w:fldCharType="end"/>
    </w:r>
  </w:p>
  <w:p w14:paraId="4784C7BC">
    <w:pPr>
      <w:pStyle w:val="2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71507"/>
      <w:docPartObj>
        <w:docPartGallery w:val="autotext"/>
      </w:docPartObj>
    </w:sdtPr>
    <w:sdtContent>
      <w:p w14:paraId="7B428C1F">
        <w:pPr>
          <w:pStyle w:val="28"/>
          <w:ind w:left="600" w:hanging="180"/>
          <w:jc w:val="center"/>
        </w:pPr>
        <w:r>
          <w:fldChar w:fldCharType="begin"/>
        </w:r>
        <w:r>
          <w:instrText xml:space="preserve"> PAGE   \* MERGEFORMAT </w:instrText>
        </w:r>
        <w:r>
          <w:fldChar w:fldCharType="separate"/>
        </w:r>
        <w:r>
          <w:rPr>
            <w:lang w:val="zh-CN"/>
          </w:rPr>
          <w:t>II</w:t>
        </w:r>
        <w:r>
          <w:rPr>
            <w:lang w:val="zh-CN"/>
          </w:rPr>
          <w:fldChar w:fldCharType="end"/>
        </w:r>
      </w:p>
    </w:sdtContent>
  </w:sdt>
  <w:p w14:paraId="43066870">
    <w:pPr>
      <w:pStyle w:val="2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2C6B2">
    <w:pPr>
      <w:pStyle w:val="28"/>
      <w:framePr w:wrap="around" w:vAnchor="text" w:hAnchor="margin" w:xAlign="center" w:y="1"/>
      <w:rPr>
        <w:rStyle w:val="38"/>
      </w:rPr>
    </w:pPr>
    <w:r>
      <w:rPr>
        <w:rStyle w:val="38"/>
      </w:rPr>
      <w:fldChar w:fldCharType="begin"/>
    </w:r>
    <w:r>
      <w:rPr>
        <w:rStyle w:val="38"/>
      </w:rPr>
      <w:instrText xml:space="preserve">PAGE  </w:instrText>
    </w:r>
    <w:r>
      <w:rPr>
        <w:rStyle w:val="38"/>
      </w:rPr>
      <w:fldChar w:fldCharType="separate"/>
    </w:r>
    <w:r>
      <w:rPr>
        <w:rStyle w:val="38"/>
      </w:rPr>
      <w:t>20</w:t>
    </w:r>
    <w:r>
      <w:rPr>
        <w:rStyle w:val="38"/>
      </w:rPr>
      <w:fldChar w:fldCharType="end"/>
    </w:r>
  </w:p>
  <w:p w14:paraId="243D8118">
    <w:pPr>
      <w:pStyle w:val="2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D31DE">
    <w:pPr>
      <w:pStyle w:val="29"/>
      <w:rPr>
        <w:rFonts w:ascii="黑体" w:eastAsia="黑体"/>
        <w:sz w:val="21"/>
        <w:szCs w:val="21"/>
      </w:rPr>
    </w:pPr>
    <w:r>
      <w:rPr>
        <w:rFonts w:hint="eastAsia" w:ascii="黑体" w:eastAsia="黑体"/>
        <w:bCs/>
        <w:sz w:val="21"/>
      </w:rPr>
      <w:t xml:space="preserve">JJF </w:t>
    </w:r>
    <w:r>
      <w:rPr>
        <w:rFonts w:hint="eastAsia" w:ascii="黑体" w:eastAsia="黑体"/>
        <w:bCs/>
        <w:sz w:val="21"/>
        <w:szCs w:val="21"/>
      </w:rPr>
      <w:t>XXXX-20XX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23"/>
      <w:suff w:val="nothing"/>
      <w:lvlText w:val="%1%2.%3　"/>
      <w:lvlJc w:val="left"/>
      <w:pPr>
        <w:ind w:left="0" w:firstLine="0"/>
      </w:pPr>
      <w:rPr>
        <w:rFonts w:hint="eastAsia" w:ascii="黑体" w:hAnsi="Times New Roman" w:eastAsia="黑体"/>
        <w:b w:val="0"/>
        <w:i w:val="0"/>
        <w:sz w:val="21"/>
      </w:rPr>
    </w:lvl>
    <w:lvl w:ilvl="3" w:tentative="0">
      <w:start w:val="1"/>
      <w:numFmt w:val="decimal"/>
      <w:pStyle w:val="79"/>
      <w:suff w:val="nothing"/>
      <w:lvlText w:val="%1%2.%3.%4　"/>
      <w:lvlJc w:val="left"/>
      <w:pPr>
        <w:ind w:left="0" w:firstLine="0"/>
      </w:pPr>
      <w:rPr>
        <w:rFonts w:hint="eastAsia" w:ascii="黑体" w:hAnsi="Times New Roman" w:eastAsia="黑体"/>
        <w:b w:val="0"/>
        <w:i w:val="0"/>
        <w:sz w:val="21"/>
      </w:rPr>
    </w:lvl>
    <w:lvl w:ilvl="4" w:tentative="0">
      <w:start w:val="1"/>
      <w:numFmt w:val="decimal"/>
      <w:pStyle w:val="111"/>
      <w:suff w:val="nothing"/>
      <w:lvlText w:val="%1%2.%3.%4.%5　"/>
      <w:lvlJc w:val="left"/>
      <w:pPr>
        <w:ind w:left="0" w:firstLine="0"/>
      </w:pPr>
      <w:rPr>
        <w:rFonts w:hint="eastAsia" w:ascii="黑体" w:hAnsi="Times New Roman" w:eastAsia="黑体"/>
        <w:b w:val="0"/>
        <w:i w:val="0"/>
        <w:sz w:val="21"/>
      </w:rPr>
    </w:lvl>
    <w:lvl w:ilvl="5" w:tentative="0">
      <w:start w:val="1"/>
      <w:numFmt w:val="decimal"/>
      <w:pStyle w:val="116"/>
      <w:suff w:val="nothing"/>
      <w:lvlText w:val="%1%2.%3.%4.%5.%6　"/>
      <w:lvlJc w:val="left"/>
      <w:pPr>
        <w:ind w:left="0" w:firstLine="0"/>
      </w:pPr>
      <w:rPr>
        <w:rFonts w:hint="eastAsia" w:ascii="黑体" w:hAnsi="Times New Roman" w:eastAsia="黑体"/>
        <w:b w:val="0"/>
        <w:i w:val="0"/>
        <w:sz w:val="21"/>
      </w:rPr>
    </w:lvl>
    <w:lvl w:ilvl="6" w:tentative="0">
      <w:start w:val="1"/>
      <w:numFmt w:val="decimal"/>
      <w:pStyle w:val="12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tentative="0">
      <w:start w:val="1"/>
      <w:numFmt w:val="none"/>
      <w:pStyle w:val="113"/>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07E65F9"/>
    <w:multiLevelType w:val="multilevel"/>
    <w:tmpl w:val="407E65F9"/>
    <w:lvl w:ilvl="0" w:tentative="0">
      <w:start w:val="1"/>
      <w:numFmt w:val="none"/>
      <w:pStyle w:val="105"/>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496E4D7B"/>
    <w:multiLevelType w:val="multilevel"/>
    <w:tmpl w:val="496E4D7B"/>
    <w:lvl w:ilvl="0" w:tentative="0">
      <w:start w:val="1"/>
      <w:numFmt w:val="none"/>
      <w:pStyle w:val="127"/>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57C2AF5"/>
    <w:multiLevelType w:val="multilevel"/>
    <w:tmpl w:val="557C2AF5"/>
    <w:lvl w:ilvl="0" w:tentative="0">
      <w:start w:val="1"/>
      <w:numFmt w:val="decimal"/>
      <w:pStyle w:val="12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5C9E50BD"/>
    <w:multiLevelType w:val="multilevel"/>
    <w:tmpl w:val="5C9E50BD"/>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646260FA"/>
    <w:multiLevelType w:val="multilevel"/>
    <w:tmpl w:val="646260FA"/>
    <w:lvl w:ilvl="0" w:tentative="0">
      <w:start w:val="1"/>
      <w:numFmt w:val="decimal"/>
      <w:pStyle w:val="12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57D3FBC"/>
    <w:multiLevelType w:val="multilevel"/>
    <w:tmpl w:val="657D3FBC"/>
    <w:lvl w:ilvl="0" w:tentative="0">
      <w:start w:val="1"/>
      <w:numFmt w:val="upperLetter"/>
      <w:pStyle w:val="92"/>
      <w:suff w:val="nothing"/>
      <w:lvlText w:val="附　录　%1"/>
      <w:lvlJc w:val="left"/>
      <w:pPr>
        <w:ind w:left="0" w:firstLine="0"/>
      </w:pPr>
      <w:rPr>
        <w:rFonts w:hint="eastAsia" w:ascii="黑体" w:hAnsi="Times New Roman" w:eastAsia="黑体"/>
        <w:b w:val="0"/>
        <w:i w:val="0"/>
        <w:sz w:val="21"/>
      </w:rPr>
    </w:lvl>
    <w:lvl w:ilvl="1" w:tentative="0">
      <w:start w:val="1"/>
      <w:numFmt w:val="decimal"/>
      <w:pStyle w:val="94"/>
      <w:suff w:val="nothing"/>
      <w:lvlText w:val="%1.%2　"/>
      <w:lvlJc w:val="left"/>
      <w:pPr>
        <w:ind w:left="1260" w:firstLine="0"/>
      </w:pPr>
      <w:rPr>
        <w:rFonts w:hint="eastAsia" w:ascii="黑体" w:hAnsi="Times New Roman" w:eastAsia="黑体"/>
        <w:b w:val="0"/>
        <w:i w:val="0"/>
        <w:snapToGrid/>
        <w:spacing w:val="0"/>
        <w:w w:val="100"/>
        <w:kern w:val="21"/>
        <w:sz w:val="21"/>
      </w:rPr>
    </w:lvl>
    <w:lvl w:ilvl="2" w:tentative="0">
      <w:start w:val="1"/>
      <w:numFmt w:val="decimal"/>
      <w:pStyle w:val="95"/>
      <w:suff w:val="nothing"/>
      <w:lvlText w:val="%1.%2.%3　"/>
      <w:lvlJc w:val="left"/>
      <w:pPr>
        <w:ind w:left="0" w:firstLine="0"/>
      </w:pPr>
      <w:rPr>
        <w:rFonts w:hint="eastAsia" w:ascii="黑体" w:hAnsi="Times New Roman" w:eastAsia="黑体"/>
        <w:b w:val="0"/>
        <w:i w:val="0"/>
        <w:sz w:val="21"/>
      </w:rPr>
    </w:lvl>
    <w:lvl w:ilvl="3" w:tentative="0">
      <w:start w:val="1"/>
      <w:numFmt w:val="decimal"/>
      <w:pStyle w:val="96"/>
      <w:suff w:val="nothing"/>
      <w:lvlText w:val="%1.%2.%3.%4　"/>
      <w:lvlJc w:val="left"/>
      <w:pPr>
        <w:ind w:left="0" w:firstLine="0"/>
      </w:pPr>
      <w:rPr>
        <w:rFonts w:hint="eastAsia" w:ascii="黑体" w:hAnsi="Times New Roman" w:eastAsia="黑体"/>
        <w:b w:val="0"/>
        <w:i w:val="0"/>
        <w:sz w:val="21"/>
      </w:rPr>
    </w:lvl>
    <w:lvl w:ilvl="4" w:tentative="0">
      <w:start w:val="1"/>
      <w:numFmt w:val="decimal"/>
      <w:pStyle w:val="97"/>
      <w:suff w:val="nothing"/>
      <w:lvlText w:val="%1.%2.%3.%4.%5　"/>
      <w:lvlJc w:val="left"/>
      <w:pPr>
        <w:ind w:left="0" w:firstLine="0"/>
      </w:pPr>
      <w:rPr>
        <w:rFonts w:hint="eastAsia" w:ascii="黑体" w:hAnsi="Times New Roman" w:eastAsia="黑体"/>
        <w:b w:val="0"/>
        <w:i w:val="0"/>
        <w:sz w:val="21"/>
      </w:rPr>
    </w:lvl>
    <w:lvl w:ilvl="5" w:tentative="0">
      <w:start w:val="1"/>
      <w:numFmt w:val="decimal"/>
      <w:pStyle w:val="98"/>
      <w:suff w:val="nothing"/>
      <w:lvlText w:val="%1.%2.%3.%4.%5.%6　"/>
      <w:lvlJc w:val="left"/>
      <w:pPr>
        <w:ind w:left="0" w:firstLine="0"/>
      </w:pPr>
      <w:rPr>
        <w:rFonts w:hint="eastAsia" w:ascii="黑体" w:hAnsi="Times New Roman" w:eastAsia="黑体"/>
        <w:b w:val="0"/>
        <w:i w:val="0"/>
        <w:sz w:val="21"/>
      </w:rPr>
    </w:lvl>
    <w:lvl w:ilvl="6" w:tentative="0">
      <w:start w:val="1"/>
      <w:numFmt w:val="decimal"/>
      <w:pStyle w:val="10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CEA2025"/>
    <w:multiLevelType w:val="multilevel"/>
    <w:tmpl w:val="6CEA2025"/>
    <w:lvl w:ilvl="0" w:tentative="0">
      <w:start w:val="1"/>
      <w:numFmt w:val="none"/>
      <w:pStyle w:val="74"/>
      <w:suff w:val="nothing"/>
      <w:lvlText w:val="%1"/>
      <w:lvlJc w:val="left"/>
      <w:pPr>
        <w:ind w:left="0" w:firstLine="0"/>
      </w:pPr>
      <w:rPr>
        <w:rFonts w:hint="default" w:ascii="Times New Roman" w:hAnsi="Times New Roman"/>
        <w:b/>
        <w:i w:val="0"/>
        <w:sz w:val="21"/>
      </w:rPr>
    </w:lvl>
    <w:lvl w:ilvl="1" w:tentative="0">
      <w:start w:val="1"/>
      <w:numFmt w:val="decimal"/>
      <w:pStyle w:val="76"/>
      <w:suff w:val="nothing"/>
      <w:lvlText w:val="%1%2　"/>
      <w:lvlJc w:val="left"/>
      <w:pPr>
        <w:ind w:left="0" w:firstLine="0"/>
      </w:pPr>
      <w:rPr>
        <w:rFonts w:hint="eastAsia" w:ascii="黑体" w:hAnsi="Times New Roman" w:eastAsia="黑体"/>
        <w:b w:val="0"/>
        <w:i w:val="0"/>
        <w:sz w:val="21"/>
      </w:rPr>
    </w:lvl>
    <w:lvl w:ilvl="2" w:tentative="0">
      <w:start w:val="1"/>
      <w:numFmt w:val="decimal"/>
      <w:pStyle w:val="77"/>
      <w:suff w:val="nothing"/>
      <w:lvlText w:val="%1%2.%3　"/>
      <w:lvlJc w:val="left"/>
      <w:pPr>
        <w:ind w:left="210" w:firstLine="0"/>
      </w:pPr>
      <w:rPr>
        <w:rFonts w:hint="eastAsia" w:ascii="黑体" w:hAnsi="Times New Roman" w:eastAsia="黑体"/>
        <w:b w:val="0"/>
        <w:i w:val="0"/>
        <w:sz w:val="21"/>
      </w:rPr>
    </w:lvl>
    <w:lvl w:ilvl="3" w:tentative="0">
      <w:start w:val="1"/>
      <w:numFmt w:val="decimal"/>
      <w:pStyle w:val="78"/>
      <w:suff w:val="nothing"/>
      <w:lvlText w:val="%1%2.%3.%4　"/>
      <w:lvlJc w:val="left"/>
      <w:pPr>
        <w:ind w:left="0" w:firstLine="0"/>
      </w:pPr>
      <w:rPr>
        <w:rFonts w:hint="eastAsia" w:ascii="黑体" w:hAnsi="Times New Roman" w:eastAsia="黑体"/>
        <w:b w:val="0"/>
        <w:i w:val="0"/>
        <w:sz w:val="21"/>
      </w:rPr>
    </w:lvl>
    <w:lvl w:ilvl="4" w:tentative="0">
      <w:start w:val="1"/>
      <w:numFmt w:val="decimal"/>
      <w:pStyle w:val="110"/>
      <w:suff w:val="nothing"/>
      <w:lvlText w:val="%1%2.%3.%4.%5　"/>
      <w:lvlJc w:val="left"/>
      <w:pPr>
        <w:ind w:left="0" w:firstLine="0"/>
      </w:pPr>
      <w:rPr>
        <w:rFonts w:hint="eastAsia" w:ascii="黑体" w:hAnsi="Times New Roman" w:eastAsia="黑体"/>
        <w:b w:val="0"/>
        <w:i w:val="0"/>
        <w:sz w:val="21"/>
      </w:rPr>
    </w:lvl>
    <w:lvl w:ilvl="5" w:tentative="0">
      <w:start w:val="1"/>
      <w:numFmt w:val="decimal"/>
      <w:pStyle w:val="115"/>
      <w:suff w:val="nothing"/>
      <w:lvlText w:val="%1%2.%3.%4.%5.%6　"/>
      <w:lvlJc w:val="left"/>
      <w:pPr>
        <w:ind w:left="0" w:firstLine="0"/>
      </w:pPr>
      <w:rPr>
        <w:rFonts w:hint="eastAsia" w:ascii="黑体" w:hAnsi="Times New Roman" w:eastAsia="黑体"/>
        <w:b w:val="0"/>
        <w:i w:val="0"/>
        <w:sz w:val="21"/>
      </w:rPr>
    </w:lvl>
    <w:lvl w:ilvl="6" w:tentative="0">
      <w:start w:val="1"/>
      <w:numFmt w:val="decimal"/>
      <w:pStyle w:val="12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6DBF04F4"/>
    <w:multiLevelType w:val="multilevel"/>
    <w:tmpl w:val="6DBF04F4"/>
    <w:lvl w:ilvl="0" w:tentative="0">
      <w:start w:val="1"/>
      <w:numFmt w:val="none"/>
      <w:pStyle w:val="126"/>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6933334"/>
    <w:multiLevelType w:val="multilevel"/>
    <w:tmpl w:val="76933334"/>
    <w:lvl w:ilvl="0" w:tentative="0">
      <w:start w:val="1"/>
      <w:numFmt w:val="none"/>
      <w:pStyle w:val="104"/>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0"/>
  </w:num>
  <w:num w:numId="3">
    <w:abstractNumId w:val="7"/>
  </w:num>
  <w:num w:numId="4">
    <w:abstractNumId w:val="10"/>
  </w:num>
  <w:num w:numId="5">
    <w:abstractNumId w:val="2"/>
  </w:num>
  <w:num w:numId="6">
    <w:abstractNumId w:val="1"/>
  </w:num>
  <w:num w:numId="7">
    <w:abstractNumId w:val="6"/>
  </w:num>
  <w:num w:numId="8">
    <w:abstractNumId w:val="4"/>
  </w:num>
  <w:num w:numId="9">
    <w:abstractNumId w:val="9"/>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14613"/>
    <w:rsid w:val="00000379"/>
    <w:rsid w:val="000037C3"/>
    <w:rsid w:val="0000393F"/>
    <w:rsid w:val="000079E3"/>
    <w:rsid w:val="00012F24"/>
    <w:rsid w:val="000156EB"/>
    <w:rsid w:val="00015CAC"/>
    <w:rsid w:val="00020773"/>
    <w:rsid w:val="00021F5B"/>
    <w:rsid w:val="0002216E"/>
    <w:rsid w:val="00024AD4"/>
    <w:rsid w:val="0002582A"/>
    <w:rsid w:val="00027F91"/>
    <w:rsid w:val="000312E0"/>
    <w:rsid w:val="00033CC3"/>
    <w:rsid w:val="00037222"/>
    <w:rsid w:val="000409DF"/>
    <w:rsid w:val="00043C69"/>
    <w:rsid w:val="0004401C"/>
    <w:rsid w:val="000445E7"/>
    <w:rsid w:val="00046174"/>
    <w:rsid w:val="0004634D"/>
    <w:rsid w:val="0005066D"/>
    <w:rsid w:val="00055106"/>
    <w:rsid w:val="00056091"/>
    <w:rsid w:val="00057845"/>
    <w:rsid w:val="00062C32"/>
    <w:rsid w:val="00065BA9"/>
    <w:rsid w:val="00067A31"/>
    <w:rsid w:val="00070ED8"/>
    <w:rsid w:val="00071A2E"/>
    <w:rsid w:val="00074219"/>
    <w:rsid w:val="000772E3"/>
    <w:rsid w:val="00077577"/>
    <w:rsid w:val="00077A0B"/>
    <w:rsid w:val="00084376"/>
    <w:rsid w:val="000852AB"/>
    <w:rsid w:val="000858BC"/>
    <w:rsid w:val="00086E31"/>
    <w:rsid w:val="000916E8"/>
    <w:rsid w:val="00092104"/>
    <w:rsid w:val="00093A26"/>
    <w:rsid w:val="00093C9C"/>
    <w:rsid w:val="00097B02"/>
    <w:rsid w:val="000A0D6A"/>
    <w:rsid w:val="000A69B5"/>
    <w:rsid w:val="000A6E85"/>
    <w:rsid w:val="000B0530"/>
    <w:rsid w:val="000B1DB3"/>
    <w:rsid w:val="000B2B36"/>
    <w:rsid w:val="000B47B2"/>
    <w:rsid w:val="000C3803"/>
    <w:rsid w:val="000C4201"/>
    <w:rsid w:val="000D22B7"/>
    <w:rsid w:val="000D23A1"/>
    <w:rsid w:val="000D7EFC"/>
    <w:rsid w:val="000F12B7"/>
    <w:rsid w:val="000F2993"/>
    <w:rsid w:val="000F3344"/>
    <w:rsid w:val="000F3EB4"/>
    <w:rsid w:val="00102296"/>
    <w:rsid w:val="0010597D"/>
    <w:rsid w:val="00106B91"/>
    <w:rsid w:val="00106C09"/>
    <w:rsid w:val="00110B9F"/>
    <w:rsid w:val="001115F3"/>
    <w:rsid w:val="00113F97"/>
    <w:rsid w:val="00116EFE"/>
    <w:rsid w:val="0012020D"/>
    <w:rsid w:val="00123BF2"/>
    <w:rsid w:val="001243AA"/>
    <w:rsid w:val="001246BC"/>
    <w:rsid w:val="0013313E"/>
    <w:rsid w:val="00135969"/>
    <w:rsid w:val="00140DF6"/>
    <w:rsid w:val="00143200"/>
    <w:rsid w:val="00145538"/>
    <w:rsid w:val="00153E38"/>
    <w:rsid w:val="00156092"/>
    <w:rsid w:val="00156D53"/>
    <w:rsid w:val="00157D6D"/>
    <w:rsid w:val="0016036E"/>
    <w:rsid w:val="001628ED"/>
    <w:rsid w:val="0016627A"/>
    <w:rsid w:val="00167C5F"/>
    <w:rsid w:val="00176B21"/>
    <w:rsid w:val="001779E8"/>
    <w:rsid w:val="00182907"/>
    <w:rsid w:val="00183978"/>
    <w:rsid w:val="00184DAD"/>
    <w:rsid w:val="001920FC"/>
    <w:rsid w:val="001949A2"/>
    <w:rsid w:val="0019590F"/>
    <w:rsid w:val="00195A43"/>
    <w:rsid w:val="00196342"/>
    <w:rsid w:val="001A0E60"/>
    <w:rsid w:val="001A0EBD"/>
    <w:rsid w:val="001A1EC1"/>
    <w:rsid w:val="001A20B7"/>
    <w:rsid w:val="001A2905"/>
    <w:rsid w:val="001A301F"/>
    <w:rsid w:val="001A5ECC"/>
    <w:rsid w:val="001A6C09"/>
    <w:rsid w:val="001B0AB0"/>
    <w:rsid w:val="001B25B2"/>
    <w:rsid w:val="001B466E"/>
    <w:rsid w:val="001B4BBB"/>
    <w:rsid w:val="001B5424"/>
    <w:rsid w:val="001C2202"/>
    <w:rsid w:val="001C39BA"/>
    <w:rsid w:val="001C6278"/>
    <w:rsid w:val="001C7C3E"/>
    <w:rsid w:val="001D07A8"/>
    <w:rsid w:val="001D3AC2"/>
    <w:rsid w:val="001D480F"/>
    <w:rsid w:val="001D62B9"/>
    <w:rsid w:val="001E0A28"/>
    <w:rsid w:val="001E3411"/>
    <w:rsid w:val="001E5B4E"/>
    <w:rsid w:val="001F075A"/>
    <w:rsid w:val="001F1478"/>
    <w:rsid w:val="001F239D"/>
    <w:rsid w:val="001F4404"/>
    <w:rsid w:val="001F4681"/>
    <w:rsid w:val="001F46A0"/>
    <w:rsid w:val="001F4B08"/>
    <w:rsid w:val="001F7ABE"/>
    <w:rsid w:val="001F7AF1"/>
    <w:rsid w:val="00200DB4"/>
    <w:rsid w:val="00204DEF"/>
    <w:rsid w:val="0021012E"/>
    <w:rsid w:val="0021232A"/>
    <w:rsid w:val="002136C8"/>
    <w:rsid w:val="00213C36"/>
    <w:rsid w:val="00214952"/>
    <w:rsid w:val="002202E7"/>
    <w:rsid w:val="00221DC3"/>
    <w:rsid w:val="002236A4"/>
    <w:rsid w:val="00223B79"/>
    <w:rsid w:val="00223E59"/>
    <w:rsid w:val="0022506D"/>
    <w:rsid w:val="00225B6A"/>
    <w:rsid w:val="00226672"/>
    <w:rsid w:val="00240D51"/>
    <w:rsid w:val="002436C1"/>
    <w:rsid w:val="002457EE"/>
    <w:rsid w:val="0024621E"/>
    <w:rsid w:val="0024671C"/>
    <w:rsid w:val="002515C9"/>
    <w:rsid w:val="00260450"/>
    <w:rsid w:val="0026101F"/>
    <w:rsid w:val="00262009"/>
    <w:rsid w:val="0026333F"/>
    <w:rsid w:val="00263DA5"/>
    <w:rsid w:val="00264DA3"/>
    <w:rsid w:val="00267619"/>
    <w:rsid w:val="002712AE"/>
    <w:rsid w:val="0027186F"/>
    <w:rsid w:val="00277036"/>
    <w:rsid w:val="00283D78"/>
    <w:rsid w:val="00284164"/>
    <w:rsid w:val="0028548F"/>
    <w:rsid w:val="002858EC"/>
    <w:rsid w:val="002864C4"/>
    <w:rsid w:val="00286DD0"/>
    <w:rsid w:val="00290D35"/>
    <w:rsid w:val="0029261B"/>
    <w:rsid w:val="002942BE"/>
    <w:rsid w:val="00296585"/>
    <w:rsid w:val="002A02D9"/>
    <w:rsid w:val="002A7559"/>
    <w:rsid w:val="002B172A"/>
    <w:rsid w:val="002B1C5C"/>
    <w:rsid w:val="002B6F73"/>
    <w:rsid w:val="002B7334"/>
    <w:rsid w:val="002C112C"/>
    <w:rsid w:val="002C1860"/>
    <w:rsid w:val="002C2819"/>
    <w:rsid w:val="002C3859"/>
    <w:rsid w:val="002C434A"/>
    <w:rsid w:val="002C5278"/>
    <w:rsid w:val="002C7507"/>
    <w:rsid w:val="002C7ADF"/>
    <w:rsid w:val="002D0E48"/>
    <w:rsid w:val="002D2436"/>
    <w:rsid w:val="002D24B8"/>
    <w:rsid w:val="002D4F5C"/>
    <w:rsid w:val="002D5C3C"/>
    <w:rsid w:val="002E0096"/>
    <w:rsid w:val="002E00B3"/>
    <w:rsid w:val="002E1F38"/>
    <w:rsid w:val="002E32F2"/>
    <w:rsid w:val="002E51C4"/>
    <w:rsid w:val="002E5C78"/>
    <w:rsid w:val="002F040D"/>
    <w:rsid w:val="002F20A2"/>
    <w:rsid w:val="002F5053"/>
    <w:rsid w:val="002F64A9"/>
    <w:rsid w:val="002F718D"/>
    <w:rsid w:val="0030045C"/>
    <w:rsid w:val="0030114A"/>
    <w:rsid w:val="00303D75"/>
    <w:rsid w:val="00306066"/>
    <w:rsid w:val="00313926"/>
    <w:rsid w:val="0031412F"/>
    <w:rsid w:val="00314DBB"/>
    <w:rsid w:val="00315FA7"/>
    <w:rsid w:val="003175DD"/>
    <w:rsid w:val="003244E5"/>
    <w:rsid w:val="0032750A"/>
    <w:rsid w:val="0032770B"/>
    <w:rsid w:val="0032785F"/>
    <w:rsid w:val="00330A92"/>
    <w:rsid w:val="0033124F"/>
    <w:rsid w:val="00332817"/>
    <w:rsid w:val="003409F7"/>
    <w:rsid w:val="00341075"/>
    <w:rsid w:val="0034227E"/>
    <w:rsid w:val="00343C35"/>
    <w:rsid w:val="003445E5"/>
    <w:rsid w:val="003460C8"/>
    <w:rsid w:val="00346A3E"/>
    <w:rsid w:val="0035000A"/>
    <w:rsid w:val="00350A7A"/>
    <w:rsid w:val="00350B33"/>
    <w:rsid w:val="00352355"/>
    <w:rsid w:val="00352432"/>
    <w:rsid w:val="00354396"/>
    <w:rsid w:val="00357BE9"/>
    <w:rsid w:val="003629BB"/>
    <w:rsid w:val="00363066"/>
    <w:rsid w:val="00364364"/>
    <w:rsid w:val="00366B8D"/>
    <w:rsid w:val="003707F0"/>
    <w:rsid w:val="00374571"/>
    <w:rsid w:val="00380E4F"/>
    <w:rsid w:val="003817A3"/>
    <w:rsid w:val="00381F21"/>
    <w:rsid w:val="003820AE"/>
    <w:rsid w:val="00385EC5"/>
    <w:rsid w:val="003869D9"/>
    <w:rsid w:val="00387D0B"/>
    <w:rsid w:val="003911DF"/>
    <w:rsid w:val="003931A9"/>
    <w:rsid w:val="003935B8"/>
    <w:rsid w:val="003955A3"/>
    <w:rsid w:val="00395937"/>
    <w:rsid w:val="00395E05"/>
    <w:rsid w:val="003A0CD9"/>
    <w:rsid w:val="003A2033"/>
    <w:rsid w:val="003A2864"/>
    <w:rsid w:val="003A2F08"/>
    <w:rsid w:val="003A43CE"/>
    <w:rsid w:val="003A43F3"/>
    <w:rsid w:val="003A5590"/>
    <w:rsid w:val="003A631D"/>
    <w:rsid w:val="003A70FA"/>
    <w:rsid w:val="003B044D"/>
    <w:rsid w:val="003B1BEF"/>
    <w:rsid w:val="003B1C33"/>
    <w:rsid w:val="003B49C4"/>
    <w:rsid w:val="003B535D"/>
    <w:rsid w:val="003B6355"/>
    <w:rsid w:val="003C1947"/>
    <w:rsid w:val="003C1D40"/>
    <w:rsid w:val="003C1FDD"/>
    <w:rsid w:val="003C3F33"/>
    <w:rsid w:val="003C5B58"/>
    <w:rsid w:val="003C714D"/>
    <w:rsid w:val="003D35D9"/>
    <w:rsid w:val="003E0862"/>
    <w:rsid w:val="003E1084"/>
    <w:rsid w:val="003E2A23"/>
    <w:rsid w:val="003E3355"/>
    <w:rsid w:val="003E44BC"/>
    <w:rsid w:val="003F1CF5"/>
    <w:rsid w:val="0040304D"/>
    <w:rsid w:val="0040606D"/>
    <w:rsid w:val="00411CC0"/>
    <w:rsid w:val="00412612"/>
    <w:rsid w:val="00415FD6"/>
    <w:rsid w:val="00417F5F"/>
    <w:rsid w:val="004214B4"/>
    <w:rsid w:val="00424820"/>
    <w:rsid w:val="0042553B"/>
    <w:rsid w:val="00427949"/>
    <w:rsid w:val="00427FC5"/>
    <w:rsid w:val="00431306"/>
    <w:rsid w:val="004319F8"/>
    <w:rsid w:val="0043321E"/>
    <w:rsid w:val="00433576"/>
    <w:rsid w:val="004341E0"/>
    <w:rsid w:val="004360EB"/>
    <w:rsid w:val="00437483"/>
    <w:rsid w:val="004379EB"/>
    <w:rsid w:val="00442BF3"/>
    <w:rsid w:val="00446D74"/>
    <w:rsid w:val="004475A6"/>
    <w:rsid w:val="00450FC9"/>
    <w:rsid w:val="00455FE0"/>
    <w:rsid w:val="004579AE"/>
    <w:rsid w:val="00460AAC"/>
    <w:rsid w:val="00463929"/>
    <w:rsid w:val="00465A3F"/>
    <w:rsid w:val="0046645B"/>
    <w:rsid w:val="00467024"/>
    <w:rsid w:val="00473929"/>
    <w:rsid w:val="00473BEB"/>
    <w:rsid w:val="00474FCE"/>
    <w:rsid w:val="004753A1"/>
    <w:rsid w:val="004754DD"/>
    <w:rsid w:val="004757DB"/>
    <w:rsid w:val="004812E5"/>
    <w:rsid w:val="00482E62"/>
    <w:rsid w:val="00484FE5"/>
    <w:rsid w:val="00485245"/>
    <w:rsid w:val="00485392"/>
    <w:rsid w:val="00487388"/>
    <w:rsid w:val="00493028"/>
    <w:rsid w:val="004946F4"/>
    <w:rsid w:val="004A20BA"/>
    <w:rsid w:val="004A41C1"/>
    <w:rsid w:val="004A5474"/>
    <w:rsid w:val="004B21D4"/>
    <w:rsid w:val="004B4AF3"/>
    <w:rsid w:val="004C08CB"/>
    <w:rsid w:val="004C3F8D"/>
    <w:rsid w:val="004D1E54"/>
    <w:rsid w:val="004E4374"/>
    <w:rsid w:val="004E65E7"/>
    <w:rsid w:val="004E66AB"/>
    <w:rsid w:val="004F0932"/>
    <w:rsid w:val="004F50BA"/>
    <w:rsid w:val="004F5736"/>
    <w:rsid w:val="004F6A06"/>
    <w:rsid w:val="00503EC9"/>
    <w:rsid w:val="005042DE"/>
    <w:rsid w:val="0050575F"/>
    <w:rsid w:val="00507AFC"/>
    <w:rsid w:val="00511561"/>
    <w:rsid w:val="0051249B"/>
    <w:rsid w:val="00514532"/>
    <w:rsid w:val="005156EA"/>
    <w:rsid w:val="00516B14"/>
    <w:rsid w:val="00517BE1"/>
    <w:rsid w:val="005211AF"/>
    <w:rsid w:val="00522D38"/>
    <w:rsid w:val="00523C09"/>
    <w:rsid w:val="00525972"/>
    <w:rsid w:val="005261C9"/>
    <w:rsid w:val="00526809"/>
    <w:rsid w:val="005339C5"/>
    <w:rsid w:val="00535886"/>
    <w:rsid w:val="005361FB"/>
    <w:rsid w:val="00536FF0"/>
    <w:rsid w:val="00541069"/>
    <w:rsid w:val="005476B4"/>
    <w:rsid w:val="005500E5"/>
    <w:rsid w:val="00551113"/>
    <w:rsid w:val="00552C53"/>
    <w:rsid w:val="00552D9B"/>
    <w:rsid w:val="00554EDB"/>
    <w:rsid w:val="0056004D"/>
    <w:rsid w:val="005600A3"/>
    <w:rsid w:val="00560CF5"/>
    <w:rsid w:val="00570262"/>
    <w:rsid w:val="005706A4"/>
    <w:rsid w:val="00571B73"/>
    <w:rsid w:val="0057273A"/>
    <w:rsid w:val="00573535"/>
    <w:rsid w:val="0057465F"/>
    <w:rsid w:val="005766C5"/>
    <w:rsid w:val="00581D54"/>
    <w:rsid w:val="005833EB"/>
    <w:rsid w:val="0058602C"/>
    <w:rsid w:val="00593ABD"/>
    <w:rsid w:val="00596D0B"/>
    <w:rsid w:val="00597A7C"/>
    <w:rsid w:val="005A0B88"/>
    <w:rsid w:val="005A182B"/>
    <w:rsid w:val="005A2476"/>
    <w:rsid w:val="005A700E"/>
    <w:rsid w:val="005A7093"/>
    <w:rsid w:val="005B01F7"/>
    <w:rsid w:val="005B3209"/>
    <w:rsid w:val="005B67E5"/>
    <w:rsid w:val="005C1531"/>
    <w:rsid w:val="005C2995"/>
    <w:rsid w:val="005C699B"/>
    <w:rsid w:val="005D0133"/>
    <w:rsid w:val="005D0B56"/>
    <w:rsid w:val="005D1F18"/>
    <w:rsid w:val="005D2576"/>
    <w:rsid w:val="005E0838"/>
    <w:rsid w:val="005E27B7"/>
    <w:rsid w:val="005E32BB"/>
    <w:rsid w:val="005E3C93"/>
    <w:rsid w:val="005E4689"/>
    <w:rsid w:val="005E5EAD"/>
    <w:rsid w:val="005E7D3D"/>
    <w:rsid w:val="005F0521"/>
    <w:rsid w:val="005F1704"/>
    <w:rsid w:val="005F198A"/>
    <w:rsid w:val="005F1CE7"/>
    <w:rsid w:val="005F1EFC"/>
    <w:rsid w:val="005F2CCB"/>
    <w:rsid w:val="005F46A1"/>
    <w:rsid w:val="005F53B3"/>
    <w:rsid w:val="005F726F"/>
    <w:rsid w:val="00601368"/>
    <w:rsid w:val="00601A51"/>
    <w:rsid w:val="00601C58"/>
    <w:rsid w:val="00611AB8"/>
    <w:rsid w:val="00621E70"/>
    <w:rsid w:val="0062529D"/>
    <w:rsid w:val="0062734C"/>
    <w:rsid w:val="0063176E"/>
    <w:rsid w:val="00631D25"/>
    <w:rsid w:val="00631EEB"/>
    <w:rsid w:val="0063421A"/>
    <w:rsid w:val="0063458A"/>
    <w:rsid w:val="006347E8"/>
    <w:rsid w:val="00635AED"/>
    <w:rsid w:val="006373BA"/>
    <w:rsid w:val="006414EF"/>
    <w:rsid w:val="00646546"/>
    <w:rsid w:val="00651B0B"/>
    <w:rsid w:val="0065423F"/>
    <w:rsid w:val="006573CC"/>
    <w:rsid w:val="00657BCA"/>
    <w:rsid w:val="00657E8F"/>
    <w:rsid w:val="00660F6D"/>
    <w:rsid w:val="00662D53"/>
    <w:rsid w:val="006644A3"/>
    <w:rsid w:val="00664F8B"/>
    <w:rsid w:val="006652EE"/>
    <w:rsid w:val="00666D79"/>
    <w:rsid w:val="00675140"/>
    <w:rsid w:val="006759BE"/>
    <w:rsid w:val="0067760E"/>
    <w:rsid w:val="0067779F"/>
    <w:rsid w:val="00680FA0"/>
    <w:rsid w:val="006817ED"/>
    <w:rsid w:val="00681A26"/>
    <w:rsid w:val="00681CA2"/>
    <w:rsid w:val="006866DC"/>
    <w:rsid w:val="00686F59"/>
    <w:rsid w:val="00691342"/>
    <w:rsid w:val="00692729"/>
    <w:rsid w:val="00696D1A"/>
    <w:rsid w:val="006A01CC"/>
    <w:rsid w:val="006A067D"/>
    <w:rsid w:val="006A2751"/>
    <w:rsid w:val="006A5504"/>
    <w:rsid w:val="006A693A"/>
    <w:rsid w:val="006A69BA"/>
    <w:rsid w:val="006B1809"/>
    <w:rsid w:val="006B23FE"/>
    <w:rsid w:val="006B292D"/>
    <w:rsid w:val="006B356B"/>
    <w:rsid w:val="006B43F2"/>
    <w:rsid w:val="006B5120"/>
    <w:rsid w:val="006B6241"/>
    <w:rsid w:val="006B7C79"/>
    <w:rsid w:val="006C0CD9"/>
    <w:rsid w:val="006C210F"/>
    <w:rsid w:val="006C2299"/>
    <w:rsid w:val="006C3B8C"/>
    <w:rsid w:val="006C5A42"/>
    <w:rsid w:val="006C76BA"/>
    <w:rsid w:val="006D15A8"/>
    <w:rsid w:val="006E14FB"/>
    <w:rsid w:val="006E3AB5"/>
    <w:rsid w:val="006E412F"/>
    <w:rsid w:val="006E4F5B"/>
    <w:rsid w:val="006F0E49"/>
    <w:rsid w:val="006F26A4"/>
    <w:rsid w:val="006F4B02"/>
    <w:rsid w:val="006F4B5E"/>
    <w:rsid w:val="00703AEC"/>
    <w:rsid w:val="007040B6"/>
    <w:rsid w:val="0070537E"/>
    <w:rsid w:val="0071254B"/>
    <w:rsid w:val="00713C82"/>
    <w:rsid w:val="0072032F"/>
    <w:rsid w:val="00720A47"/>
    <w:rsid w:val="00721456"/>
    <w:rsid w:val="0072205B"/>
    <w:rsid w:val="007221F0"/>
    <w:rsid w:val="007256DE"/>
    <w:rsid w:val="0072577A"/>
    <w:rsid w:val="00732BE6"/>
    <w:rsid w:val="00732F00"/>
    <w:rsid w:val="00734E6E"/>
    <w:rsid w:val="0074045E"/>
    <w:rsid w:val="00740913"/>
    <w:rsid w:val="00740C9A"/>
    <w:rsid w:val="00741C3E"/>
    <w:rsid w:val="0074215A"/>
    <w:rsid w:val="00751493"/>
    <w:rsid w:val="00753E7C"/>
    <w:rsid w:val="00753ECA"/>
    <w:rsid w:val="00760BC7"/>
    <w:rsid w:val="0076297A"/>
    <w:rsid w:val="00762B43"/>
    <w:rsid w:val="007656E8"/>
    <w:rsid w:val="00765C7A"/>
    <w:rsid w:val="00766419"/>
    <w:rsid w:val="007703A5"/>
    <w:rsid w:val="00770678"/>
    <w:rsid w:val="00772C60"/>
    <w:rsid w:val="007743DE"/>
    <w:rsid w:val="00775315"/>
    <w:rsid w:val="00775C67"/>
    <w:rsid w:val="00780D5B"/>
    <w:rsid w:val="00782B60"/>
    <w:rsid w:val="00782E33"/>
    <w:rsid w:val="007843FF"/>
    <w:rsid w:val="00785CB4"/>
    <w:rsid w:val="007863D0"/>
    <w:rsid w:val="00787B0E"/>
    <w:rsid w:val="00790F31"/>
    <w:rsid w:val="00791C40"/>
    <w:rsid w:val="007A0F61"/>
    <w:rsid w:val="007A2442"/>
    <w:rsid w:val="007A3DA0"/>
    <w:rsid w:val="007B0416"/>
    <w:rsid w:val="007B09E5"/>
    <w:rsid w:val="007B1BF9"/>
    <w:rsid w:val="007B3AB9"/>
    <w:rsid w:val="007B404B"/>
    <w:rsid w:val="007B4076"/>
    <w:rsid w:val="007B50D7"/>
    <w:rsid w:val="007C1655"/>
    <w:rsid w:val="007C17E5"/>
    <w:rsid w:val="007C34E0"/>
    <w:rsid w:val="007C3B67"/>
    <w:rsid w:val="007C4845"/>
    <w:rsid w:val="007C5583"/>
    <w:rsid w:val="007C5F57"/>
    <w:rsid w:val="007D0DD4"/>
    <w:rsid w:val="007D1304"/>
    <w:rsid w:val="007E3332"/>
    <w:rsid w:val="007E339B"/>
    <w:rsid w:val="007E3F29"/>
    <w:rsid w:val="007E5D6F"/>
    <w:rsid w:val="007F106E"/>
    <w:rsid w:val="007F1085"/>
    <w:rsid w:val="007F6894"/>
    <w:rsid w:val="007F76CF"/>
    <w:rsid w:val="00800B94"/>
    <w:rsid w:val="00801031"/>
    <w:rsid w:val="008020B8"/>
    <w:rsid w:val="0080250A"/>
    <w:rsid w:val="00803498"/>
    <w:rsid w:val="00806338"/>
    <w:rsid w:val="00811099"/>
    <w:rsid w:val="00811A75"/>
    <w:rsid w:val="00812FE0"/>
    <w:rsid w:val="00813832"/>
    <w:rsid w:val="0081462B"/>
    <w:rsid w:val="00816182"/>
    <w:rsid w:val="00817598"/>
    <w:rsid w:val="00817B2B"/>
    <w:rsid w:val="00820613"/>
    <w:rsid w:val="00820C26"/>
    <w:rsid w:val="00820C31"/>
    <w:rsid w:val="00820C52"/>
    <w:rsid w:val="00821508"/>
    <w:rsid w:val="00824863"/>
    <w:rsid w:val="00827CCB"/>
    <w:rsid w:val="00830B96"/>
    <w:rsid w:val="00831BB5"/>
    <w:rsid w:val="00832A12"/>
    <w:rsid w:val="00832F4D"/>
    <w:rsid w:val="0083524B"/>
    <w:rsid w:val="00837D2F"/>
    <w:rsid w:val="00837F68"/>
    <w:rsid w:val="00841B16"/>
    <w:rsid w:val="0084296F"/>
    <w:rsid w:val="00843002"/>
    <w:rsid w:val="00845181"/>
    <w:rsid w:val="00846200"/>
    <w:rsid w:val="008563F3"/>
    <w:rsid w:val="00862859"/>
    <w:rsid w:val="00862CE3"/>
    <w:rsid w:val="00866B31"/>
    <w:rsid w:val="00870124"/>
    <w:rsid w:val="008715B7"/>
    <w:rsid w:val="00871F39"/>
    <w:rsid w:val="008723A2"/>
    <w:rsid w:val="00872D20"/>
    <w:rsid w:val="00883825"/>
    <w:rsid w:val="00885211"/>
    <w:rsid w:val="00885A6E"/>
    <w:rsid w:val="00886430"/>
    <w:rsid w:val="008901B6"/>
    <w:rsid w:val="00890E38"/>
    <w:rsid w:val="00893037"/>
    <w:rsid w:val="00893DB8"/>
    <w:rsid w:val="00896B18"/>
    <w:rsid w:val="00897ECD"/>
    <w:rsid w:val="008A08F6"/>
    <w:rsid w:val="008A0F67"/>
    <w:rsid w:val="008A1FC8"/>
    <w:rsid w:val="008A79CA"/>
    <w:rsid w:val="008B0C00"/>
    <w:rsid w:val="008B37C3"/>
    <w:rsid w:val="008B4FE2"/>
    <w:rsid w:val="008B6F51"/>
    <w:rsid w:val="008B7923"/>
    <w:rsid w:val="008B7C24"/>
    <w:rsid w:val="008C1770"/>
    <w:rsid w:val="008C6C7A"/>
    <w:rsid w:val="008C7A6E"/>
    <w:rsid w:val="008D09E1"/>
    <w:rsid w:val="008D249F"/>
    <w:rsid w:val="008D2991"/>
    <w:rsid w:val="008D425A"/>
    <w:rsid w:val="008D6022"/>
    <w:rsid w:val="008D7613"/>
    <w:rsid w:val="008E0052"/>
    <w:rsid w:val="008E3D44"/>
    <w:rsid w:val="008E4090"/>
    <w:rsid w:val="008E4374"/>
    <w:rsid w:val="008E516A"/>
    <w:rsid w:val="008E5DE3"/>
    <w:rsid w:val="008F0620"/>
    <w:rsid w:val="008F12B6"/>
    <w:rsid w:val="008F1925"/>
    <w:rsid w:val="008F3BF7"/>
    <w:rsid w:val="008F4961"/>
    <w:rsid w:val="008F55BC"/>
    <w:rsid w:val="008F5E55"/>
    <w:rsid w:val="00901DD4"/>
    <w:rsid w:val="0090297D"/>
    <w:rsid w:val="00902B97"/>
    <w:rsid w:val="00903D37"/>
    <w:rsid w:val="00903EDF"/>
    <w:rsid w:val="00906146"/>
    <w:rsid w:val="00906F13"/>
    <w:rsid w:val="00907207"/>
    <w:rsid w:val="00910E4D"/>
    <w:rsid w:val="009144AF"/>
    <w:rsid w:val="00914AA0"/>
    <w:rsid w:val="00921099"/>
    <w:rsid w:val="0092243F"/>
    <w:rsid w:val="00923BF6"/>
    <w:rsid w:val="0092447A"/>
    <w:rsid w:val="00925CCA"/>
    <w:rsid w:val="00934DAF"/>
    <w:rsid w:val="0093647F"/>
    <w:rsid w:val="00940225"/>
    <w:rsid w:val="00942D95"/>
    <w:rsid w:val="0094315E"/>
    <w:rsid w:val="00943638"/>
    <w:rsid w:val="00944D10"/>
    <w:rsid w:val="009514BA"/>
    <w:rsid w:val="009572AD"/>
    <w:rsid w:val="009647C9"/>
    <w:rsid w:val="0096758F"/>
    <w:rsid w:val="00972ADF"/>
    <w:rsid w:val="00972D9D"/>
    <w:rsid w:val="0097494E"/>
    <w:rsid w:val="00974DA5"/>
    <w:rsid w:val="00977961"/>
    <w:rsid w:val="009800ED"/>
    <w:rsid w:val="009802EA"/>
    <w:rsid w:val="0098063C"/>
    <w:rsid w:val="0098257A"/>
    <w:rsid w:val="00984D99"/>
    <w:rsid w:val="009854A1"/>
    <w:rsid w:val="00986892"/>
    <w:rsid w:val="00986944"/>
    <w:rsid w:val="00987FF4"/>
    <w:rsid w:val="00992CF7"/>
    <w:rsid w:val="0099430C"/>
    <w:rsid w:val="00996FB3"/>
    <w:rsid w:val="009A1971"/>
    <w:rsid w:val="009A1E7B"/>
    <w:rsid w:val="009A2E38"/>
    <w:rsid w:val="009A30CD"/>
    <w:rsid w:val="009A7F30"/>
    <w:rsid w:val="009B0E5F"/>
    <w:rsid w:val="009B5444"/>
    <w:rsid w:val="009B5EDA"/>
    <w:rsid w:val="009B7BC3"/>
    <w:rsid w:val="009C51E5"/>
    <w:rsid w:val="009C6497"/>
    <w:rsid w:val="009C6F9D"/>
    <w:rsid w:val="009C739E"/>
    <w:rsid w:val="009C788C"/>
    <w:rsid w:val="009D0115"/>
    <w:rsid w:val="009D158A"/>
    <w:rsid w:val="009D188E"/>
    <w:rsid w:val="009D1F72"/>
    <w:rsid w:val="009D2216"/>
    <w:rsid w:val="009D2AF7"/>
    <w:rsid w:val="009D7B7A"/>
    <w:rsid w:val="009E0C2A"/>
    <w:rsid w:val="009E1420"/>
    <w:rsid w:val="009E27E0"/>
    <w:rsid w:val="009E3580"/>
    <w:rsid w:val="009F3675"/>
    <w:rsid w:val="00A00350"/>
    <w:rsid w:val="00A007A0"/>
    <w:rsid w:val="00A007D9"/>
    <w:rsid w:val="00A008A0"/>
    <w:rsid w:val="00A00E99"/>
    <w:rsid w:val="00A02593"/>
    <w:rsid w:val="00A02E65"/>
    <w:rsid w:val="00A03B18"/>
    <w:rsid w:val="00A06EF2"/>
    <w:rsid w:val="00A07377"/>
    <w:rsid w:val="00A07712"/>
    <w:rsid w:val="00A10359"/>
    <w:rsid w:val="00A10460"/>
    <w:rsid w:val="00A201C3"/>
    <w:rsid w:val="00A20A72"/>
    <w:rsid w:val="00A248BC"/>
    <w:rsid w:val="00A2764C"/>
    <w:rsid w:val="00A27AFE"/>
    <w:rsid w:val="00A35ADC"/>
    <w:rsid w:val="00A4158E"/>
    <w:rsid w:val="00A415C1"/>
    <w:rsid w:val="00A457D1"/>
    <w:rsid w:val="00A45E1A"/>
    <w:rsid w:val="00A477A4"/>
    <w:rsid w:val="00A5133F"/>
    <w:rsid w:val="00A51A8D"/>
    <w:rsid w:val="00A51B5A"/>
    <w:rsid w:val="00A5247D"/>
    <w:rsid w:val="00A56903"/>
    <w:rsid w:val="00A631D9"/>
    <w:rsid w:val="00A635E0"/>
    <w:rsid w:val="00A64282"/>
    <w:rsid w:val="00A64A9A"/>
    <w:rsid w:val="00A66F84"/>
    <w:rsid w:val="00A6759E"/>
    <w:rsid w:val="00A72F67"/>
    <w:rsid w:val="00A7317F"/>
    <w:rsid w:val="00A7741B"/>
    <w:rsid w:val="00A779D7"/>
    <w:rsid w:val="00A8015C"/>
    <w:rsid w:val="00A802B8"/>
    <w:rsid w:val="00A843CD"/>
    <w:rsid w:val="00A9023A"/>
    <w:rsid w:val="00A9150E"/>
    <w:rsid w:val="00A9378C"/>
    <w:rsid w:val="00A938D6"/>
    <w:rsid w:val="00A968B3"/>
    <w:rsid w:val="00A968E1"/>
    <w:rsid w:val="00AA4F33"/>
    <w:rsid w:val="00AA561A"/>
    <w:rsid w:val="00AA5E07"/>
    <w:rsid w:val="00AA7158"/>
    <w:rsid w:val="00AB13BE"/>
    <w:rsid w:val="00AB1CB2"/>
    <w:rsid w:val="00AB2A61"/>
    <w:rsid w:val="00AB3244"/>
    <w:rsid w:val="00AB3358"/>
    <w:rsid w:val="00AB4F8B"/>
    <w:rsid w:val="00AB5391"/>
    <w:rsid w:val="00AB5729"/>
    <w:rsid w:val="00AC4C8E"/>
    <w:rsid w:val="00AC527A"/>
    <w:rsid w:val="00AC5E02"/>
    <w:rsid w:val="00AC65AE"/>
    <w:rsid w:val="00AC68A4"/>
    <w:rsid w:val="00AD0E64"/>
    <w:rsid w:val="00AD653A"/>
    <w:rsid w:val="00AE1353"/>
    <w:rsid w:val="00AE6B45"/>
    <w:rsid w:val="00AE7101"/>
    <w:rsid w:val="00AE778F"/>
    <w:rsid w:val="00AE7DAA"/>
    <w:rsid w:val="00AF69D5"/>
    <w:rsid w:val="00AF7F57"/>
    <w:rsid w:val="00B04AE2"/>
    <w:rsid w:val="00B106FA"/>
    <w:rsid w:val="00B10759"/>
    <w:rsid w:val="00B16825"/>
    <w:rsid w:val="00B20487"/>
    <w:rsid w:val="00B20C74"/>
    <w:rsid w:val="00B20F70"/>
    <w:rsid w:val="00B228CA"/>
    <w:rsid w:val="00B376BA"/>
    <w:rsid w:val="00B41781"/>
    <w:rsid w:val="00B420D7"/>
    <w:rsid w:val="00B43209"/>
    <w:rsid w:val="00B4460E"/>
    <w:rsid w:val="00B44E66"/>
    <w:rsid w:val="00B458E4"/>
    <w:rsid w:val="00B468C7"/>
    <w:rsid w:val="00B477D6"/>
    <w:rsid w:val="00B50573"/>
    <w:rsid w:val="00B54B0F"/>
    <w:rsid w:val="00B550EC"/>
    <w:rsid w:val="00B6235C"/>
    <w:rsid w:val="00B64C96"/>
    <w:rsid w:val="00B75B3E"/>
    <w:rsid w:val="00B75D59"/>
    <w:rsid w:val="00B8680A"/>
    <w:rsid w:val="00B86ED8"/>
    <w:rsid w:val="00B90182"/>
    <w:rsid w:val="00B917C5"/>
    <w:rsid w:val="00B92BE6"/>
    <w:rsid w:val="00B951D2"/>
    <w:rsid w:val="00B95D5D"/>
    <w:rsid w:val="00B9713E"/>
    <w:rsid w:val="00B97811"/>
    <w:rsid w:val="00BA0AC3"/>
    <w:rsid w:val="00BA40E3"/>
    <w:rsid w:val="00BA6F13"/>
    <w:rsid w:val="00BA75F5"/>
    <w:rsid w:val="00BB0AA5"/>
    <w:rsid w:val="00BB2536"/>
    <w:rsid w:val="00BB404F"/>
    <w:rsid w:val="00BB5B8E"/>
    <w:rsid w:val="00BB699F"/>
    <w:rsid w:val="00BC072E"/>
    <w:rsid w:val="00BC50D6"/>
    <w:rsid w:val="00BC5438"/>
    <w:rsid w:val="00BC7A21"/>
    <w:rsid w:val="00BD095E"/>
    <w:rsid w:val="00BD2C60"/>
    <w:rsid w:val="00BD2F24"/>
    <w:rsid w:val="00BD4F4A"/>
    <w:rsid w:val="00BD58A1"/>
    <w:rsid w:val="00BD74FB"/>
    <w:rsid w:val="00BE19C5"/>
    <w:rsid w:val="00BE268A"/>
    <w:rsid w:val="00BE547F"/>
    <w:rsid w:val="00BF09FF"/>
    <w:rsid w:val="00BF0CC3"/>
    <w:rsid w:val="00BF1268"/>
    <w:rsid w:val="00BF29DC"/>
    <w:rsid w:val="00BF5555"/>
    <w:rsid w:val="00BF5572"/>
    <w:rsid w:val="00C020C8"/>
    <w:rsid w:val="00C022A7"/>
    <w:rsid w:val="00C04753"/>
    <w:rsid w:val="00C047D5"/>
    <w:rsid w:val="00C0502A"/>
    <w:rsid w:val="00C061ED"/>
    <w:rsid w:val="00C10F53"/>
    <w:rsid w:val="00C12FCB"/>
    <w:rsid w:val="00C13C6D"/>
    <w:rsid w:val="00C170CB"/>
    <w:rsid w:val="00C17136"/>
    <w:rsid w:val="00C20483"/>
    <w:rsid w:val="00C20771"/>
    <w:rsid w:val="00C2330C"/>
    <w:rsid w:val="00C244AA"/>
    <w:rsid w:val="00C2517C"/>
    <w:rsid w:val="00C262F2"/>
    <w:rsid w:val="00C26ED4"/>
    <w:rsid w:val="00C27CF2"/>
    <w:rsid w:val="00C27FFA"/>
    <w:rsid w:val="00C32289"/>
    <w:rsid w:val="00C3398D"/>
    <w:rsid w:val="00C33F04"/>
    <w:rsid w:val="00C3483E"/>
    <w:rsid w:val="00C35D55"/>
    <w:rsid w:val="00C36686"/>
    <w:rsid w:val="00C40F14"/>
    <w:rsid w:val="00C45870"/>
    <w:rsid w:val="00C45A0F"/>
    <w:rsid w:val="00C56451"/>
    <w:rsid w:val="00C5733B"/>
    <w:rsid w:val="00C601A1"/>
    <w:rsid w:val="00C625ED"/>
    <w:rsid w:val="00C641F0"/>
    <w:rsid w:val="00C665C1"/>
    <w:rsid w:val="00C66676"/>
    <w:rsid w:val="00C6770D"/>
    <w:rsid w:val="00C70F9D"/>
    <w:rsid w:val="00C71783"/>
    <w:rsid w:val="00C71D49"/>
    <w:rsid w:val="00C75E4E"/>
    <w:rsid w:val="00C75FB7"/>
    <w:rsid w:val="00C76ED5"/>
    <w:rsid w:val="00C76F20"/>
    <w:rsid w:val="00C81D9D"/>
    <w:rsid w:val="00C8255A"/>
    <w:rsid w:val="00C858A6"/>
    <w:rsid w:val="00C87589"/>
    <w:rsid w:val="00C93F00"/>
    <w:rsid w:val="00C95AA0"/>
    <w:rsid w:val="00C977DA"/>
    <w:rsid w:val="00C97CED"/>
    <w:rsid w:val="00CA37A0"/>
    <w:rsid w:val="00CA734E"/>
    <w:rsid w:val="00CB316D"/>
    <w:rsid w:val="00CB3DB9"/>
    <w:rsid w:val="00CB42E9"/>
    <w:rsid w:val="00CB5CFB"/>
    <w:rsid w:val="00CC2171"/>
    <w:rsid w:val="00CC2173"/>
    <w:rsid w:val="00CC3488"/>
    <w:rsid w:val="00CC43F9"/>
    <w:rsid w:val="00CD0244"/>
    <w:rsid w:val="00CD0B7D"/>
    <w:rsid w:val="00CD0DD0"/>
    <w:rsid w:val="00CD18FF"/>
    <w:rsid w:val="00CD3B9B"/>
    <w:rsid w:val="00CD4981"/>
    <w:rsid w:val="00CD5061"/>
    <w:rsid w:val="00CE102D"/>
    <w:rsid w:val="00CF281D"/>
    <w:rsid w:val="00CF451C"/>
    <w:rsid w:val="00CF6D47"/>
    <w:rsid w:val="00D017B7"/>
    <w:rsid w:val="00D03AA9"/>
    <w:rsid w:val="00D04B26"/>
    <w:rsid w:val="00D04B88"/>
    <w:rsid w:val="00D11372"/>
    <w:rsid w:val="00D20843"/>
    <w:rsid w:val="00D2492C"/>
    <w:rsid w:val="00D25807"/>
    <w:rsid w:val="00D26439"/>
    <w:rsid w:val="00D30BC2"/>
    <w:rsid w:val="00D3275E"/>
    <w:rsid w:val="00D341D7"/>
    <w:rsid w:val="00D36D1A"/>
    <w:rsid w:val="00D43796"/>
    <w:rsid w:val="00D43E7E"/>
    <w:rsid w:val="00D50200"/>
    <w:rsid w:val="00D51534"/>
    <w:rsid w:val="00D5366A"/>
    <w:rsid w:val="00D53A9C"/>
    <w:rsid w:val="00D61F10"/>
    <w:rsid w:val="00D63B78"/>
    <w:rsid w:val="00D669FB"/>
    <w:rsid w:val="00D66A1C"/>
    <w:rsid w:val="00D70A8A"/>
    <w:rsid w:val="00D73DEF"/>
    <w:rsid w:val="00D75B99"/>
    <w:rsid w:val="00D76B88"/>
    <w:rsid w:val="00D8059A"/>
    <w:rsid w:val="00D83659"/>
    <w:rsid w:val="00D85381"/>
    <w:rsid w:val="00D87CC0"/>
    <w:rsid w:val="00D936AA"/>
    <w:rsid w:val="00D95CF2"/>
    <w:rsid w:val="00D96732"/>
    <w:rsid w:val="00D9706D"/>
    <w:rsid w:val="00DA216A"/>
    <w:rsid w:val="00DA41A1"/>
    <w:rsid w:val="00DA469C"/>
    <w:rsid w:val="00DB1B1A"/>
    <w:rsid w:val="00DB203D"/>
    <w:rsid w:val="00DB5208"/>
    <w:rsid w:val="00DB7D0F"/>
    <w:rsid w:val="00DC1752"/>
    <w:rsid w:val="00DC2F52"/>
    <w:rsid w:val="00DC454F"/>
    <w:rsid w:val="00DC7EED"/>
    <w:rsid w:val="00DD1F3E"/>
    <w:rsid w:val="00DD3531"/>
    <w:rsid w:val="00DE1959"/>
    <w:rsid w:val="00DE2F0A"/>
    <w:rsid w:val="00DE4259"/>
    <w:rsid w:val="00DE53BC"/>
    <w:rsid w:val="00DE6151"/>
    <w:rsid w:val="00DE6637"/>
    <w:rsid w:val="00DE6972"/>
    <w:rsid w:val="00DE727C"/>
    <w:rsid w:val="00DF3CAE"/>
    <w:rsid w:val="00DF5B78"/>
    <w:rsid w:val="00DF697D"/>
    <w:rsid w:val="00E001D4"/>
    <w:rsid w:val="00E00F91"/>
    <w:rsid w:val="00E013DD"/>
    <w:rsid w:val="00E03A42"/>
    <w:rsid w:val="00E13B31"/>
    <w:rsid w:val="00E14613"/>
    <w:rsid w:val="00E21247"/>
    <w:rsid w:val="00E2225B"/>
    <w:rsid w:val="00E240A8"/>
    <w:rsid w:val="00E242A7"/>
    <w:rsid w:val="00E30557"/>
    <w:rsid w:val="00E30E4E"/>
    <w:rsid w:val="00E32B43"/>
    <w:rsid w:val="00E33DB7"/>
    <w:rsid w:val="00E354D9"/>
    <w:rsid w:val="00E36B49"/>
    <w:rsid w:val="00E378D3"/>
    <w:rsid w:val="00E37CE0"/>
    <w:rsid w:val="00E42299"/>
    <w:rsid w:val="00E44E90"/>
    <w:rsid w:val="00E45B2D"/>
    <w:rsid w:val="00E46E5C"/>
    <w:rsid w:val="00E51929"/>
    <w:rsid w:val="00E5285A"/>
    <w:rsid w:val="00E52BBD"/>
    <w:rsid w:val="00E55FB5"/>
    <w:rsid w:val="00E56793"/>
    <w:rsid w:val="00E57BBC"/>
    <w:rsid w:val="00E637E0"/>
    <w:rsid w:val="00E66861"/>
    <w:rsid w:val="00E67F26"/>
    <w:rsid w:val="00E702B0"/>
    <w:rsid w:val="00E70A6E"/>
    <w:rsid w:val="00E712C7"/>
    <w:rsid w:val="00E818A6"/>
    <w:rsid w:val="00E8512F"/>
    <w:rsid w:val="00E851A8"/>
    <w:rsid w:val="00E8569D"/>
    <w:rsid w:val="00E86C4B"/>
    <w:rsid w:val="00E87612"/>
    <w:rsid w:val="00E96E3A"/>
    <w:rsid w:val="00EB106D"/>
    <w:rsid w:val="00EB1F3C"/>
    <w:rsid w:val="00EB29FD"/>
    <w:rsid w:val="00EB4BFD"/>
    <w:rsid w:val="00EC3C60"/>
    <w:rsid w:val="00EC540D"/>
    <w:rsid w:val="00EC61D6"/>
    <w:rsid w:val="00ED1167"/>
    <w:rsid w:val="00ED3133"/>
    <w:rsid w:val="00ED4AE7"/>
    <w:rsid w:val="00EE03C1"/>
    <w:rsid w:val="00EE04EA"/>
    <w:rsid w:val="00EE0B52"/>
    <w:rsid w:val="00EE12F0"/>
    <w:rsid w:val="00EE6C10"/>
    <w:rsid w:val="00EE767D"/>
    <w:rsid w:val="00EF22E8"/>
    <w:rsid w:val="00EF3213"/>
    <w:rsid w:val="00EF6734"/>
    <w:rsid w:val="00EF6C5B"/>
    <w:rsid w:val="00EF6E55"/>
    <w:rsid w:val="00EF7630"/>
    <w:rsid w:val="00F010EF"/>
    <w:rsid w:val="00F01780"/>
    <w:rsid w:val="00F05C5D"/>
    <w:rsid w:val="00F12BDB"/>
    <w:rsid w:val="00F16E55"/>
    <w:rsid w:val="00F204E1"/>
    <w:rsid w:val="00F2139D"/>
    <w:rsid w:val="00F21A27"/>
    <w:rsid w:val="00F22965"/>
    <w:rsid w:val="00F251FB"/>
    <w:rsid w:val="00F27B40"/>
    <w:rsid w:val="00F34733"/>
    <w:rsid w:val="00F4281E"/>
    <w:rsid w:val="00F435F9"/>
    <w:rsid w:val="00F4460A"/>
    <w:rsid w:val="00F44AE8"/>
    <w:rsid w:val="00F50D8C"/>
    <w:rsid w:val="00F5231F"/>
    <w:rsid w:val="00F62899"/>
    <w:rsid w:val="00F6332C"/>
    <w:rsid w:val="00F6576F"/>
    <w:rsid w:val="00F678A2"/>
    <w:rsid w:val="00F70F06"/>
    <w:rsid w:val="00F7116C"/>
    <w:rsid w:val="00F71768"/>
    <w:rsid w:val="00F75E5C"/>
    <w:rsid w:val="00F77AE9"/>
    <w:rsid w:val="00F8098C"/>
    <w:rsid w:val="00F81A5B"/>
    <w:rsid w:val="00F834D5"/>
    <w:rsid w:val="00F83D6B"/>
    <w:rsid w:val="00F84B43"/>
    <w:rsid w:val="00F878BC"/>
    <w:rsid w:val="00F87F8E"/>
    <w:rsid w:val="00F9337C"/>
    <w:rsid w:val="00F9484C"/>
    <w:rsid w:val="00F955D0"/>
    <w:rsid w:val="00F95B49"/>
    <w:rsid w:val="00F9618C"/>
    <w:rsid w:val="00F97439"/>
    <w:rsid w:val="00FA03B3"/>
    <w:rsid w:val="00FA17C4"/>
    <w:rsid w:val="00FA2393"/>
    <w:rsid w:val="00FA285F"/>
    <w:rsid w:val="00FA321B"/>
    <w:rsid w:val="00FA34A9"/>
    <w:rsid w:val="00FB2F45"/>
    <w:rsid w:val="00FB5D09"/>
    <w:rsid w:val="00FB6225"/>
    <w:rsid w:val="00FB64BE"/>
    <w:rsid w:val="00FC07F4"/>
    <w:rsid w:val="00FC4E6F"/>
    <w:rsid w:val="00FC4EF6"/>
    <w:rsid w:val="00FC5F28"/>
    <w:rsid w:val="00FD148C"/>
    <w:rsid w:val="00FD4B50"/>
    <w:rsid w:val="00FD548E"/>
    <w:rsid w:val="00FD57ED"/>
    <w:rsid w:val="00FD6EC6"/>
    <w:rsid w:val="00FE094A"/>
    <w:rsid w:val="00FE1357"/>
    <w:rsid w:val="00FE16B4"/>
    <w:rsid w:val="00FE3353"/>
    <w:rsid w:val="00FE6315"/>
    <w:rsid w:val="00FF1468"/>
    <w:rsid w:val="00FF199D"/>
    <w:rsid w:val="00FF37E0"/>
    <w:rsid w:val="00FF50B1"/>
    <w:rsid w:val="00FF51C9"/>
    <w:rsid w:val="00FF528E"/>
    <w:rsid w:val="00FF5CF2"/>
    <w:rsid w:val="00FF5F89"/>
    <w:rsid w:val="3DDE103D"/>
    <w:rsid w:val="63B362C4"/>
    <w:rsid w:val="6C6F53EC"/>
    <w:rsid w:val="78D12D60"/>
    <w:rsid w:val="7BB854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semiHidden="0" w:name="footnote reference"/>
    <w:lsdException w:unhideWhenUsed="0" w:uiPriority="0" w:name="annotation reference"/>
    <w:lsdException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iPriority="0" w:name="E-mail Signature"/>
    <w:lsdException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7"/>
    <w:qFormat/>
    <w:uiPriority w:val="0"/>
    <w:pPr>
      <w:keepNext/>
      <w:keepLines/>
      <w:spacing w:before="260" w:after="260" w:line="416" w:lineRule="auto"/>
      <w:outlineLvl w:val="2"/>
    </w:pPr>
    <w:rPr>
      <w:b/>
      <w:bCs/>
      <w:sz w:val="32"/>
      <w:szCs w:val="32"/>
    </w:rPr>
  </w:style>
  <w:style w:type="paragraph" w:styleId="5">
    <w:name w:val="heading 4"/>
    <w:basedOn w:val="1"/>
    <w:next w:val="1"/>
    <w:link w:val="5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59"/>
    <w:qFormat/>
    <w:uiPriority w:val="0"/>
    <w:pPr>
      <w:keepNext/>
      <w:keepLines/>
      <w:spacing w:before="280" w:after="290" w:line="376" w:lineRule="auto"/>
      <w:outlineLvl w:val="4"/>
    </w:pPr>
    <w:rPr>
      <w:b/>
      <w:bCs/>
      <w:sz w:val="28"/>
      <w:szCs w:val="28"/>
    </w:rPr>
  </w:style>
  <w:style w:type="paragraph" w:styleId="7">
    <w:name w:val="heading 6"/>
    <w:basedOn w:val="1"/>
    <w:next w:val="1"/>
    <w:link w:val="60"/>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61"/>
    <w:qFormat/>
    <w:uiPriority w:val="0"/>
    <w:pPr>
      <w:keepNext/>
      <w:keepLines/>
      <w:spacing w:before="240" w:after="64" w:line="320" w:lineRule="auto"/>
      <w:outlineLvl w:val="6"/>
    </w:pPr>
    <w:rPr>
      <w:b/>
      <w:bCs/>
      <w:sz w:val="24"/>
    </w:rPr>
  </w:style>
  <w:style w:type="paragraph" w:styleId="9">
    <w:name w:val="heading 8"/>
    <w:basedOn w:val="1"/>
    <w:next w:val="1"/>
    <w:link w:val="62"/>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63"/>
    <w:qFormat/>
    <w:uiPriority w:val="0"/>
    <w:pPr>
      <w:keepNext/>
      <w:keepLines/>
      <w:spacing w:before="240" w:after="64" w:line="320" w:lineRule="auto"/>
      <w:outlineLvl w:val="8"/>
    </w:pPr>
    <w:rPr>
      <w:rFonts w:ascii="Arial" w:hAnsi="Arial" w:eastAsia="黑体"/>
      <w:szCs w:val="21"/>
    </w:rPr>
  </w:style>
  <w:style w:type="character" w:default="1" w:styleId="37">
    <w:name w:val="Default Paragraph Font"/>
    <w:semiHidden/>
    <w:unhideWhenUsed/>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uiPriority w:val="0"/>
  </w:style>
  <w:style w:type="paragraph" w:styleId="12">
    <w:name w:val="toc 6"/>
    <w:basedOn w:val="13"/>
    <w:next w:val="1"/>
    <w:qFormat/>
    <w:uiPriority w:val="0"/>
  </w:style>
  <w:style w:type="paragraph" w:styleId="13">
    <w:name w:val="toc 5"/>
    <w:basedOn w:val="14"/>
    <w:next w:val="1"/>
    <w:uiPriority w:val="0"/>
  </w:style>
  <w:style w:type="paragraph" w:styleId="14">
    <w:name w:val="toc 4"/>
    <w:basedOn w:val="15"/>
    <w:next w:val="1"/>
    <w:uiPriority w:val="0"/>
  </w:style>
  <w:style w:type="paragraph" w:styleId="15">
    <w:name w:val="toc 3"/>
    <w:basedOn w:val="16"/>
    <w:next w:val="1"/>
    <w:qFormat/>
    <w:uiPriority w:val="39"/>
  </w:style>
  <w:style w:type="paragraph" w:styleId="16">
    <w:name w:val="toc 2"/>
    <w:basedOn w:val="17"/>
    <w:next w:val="1"/>
    <w:qFormat/>
    <w:uiPriority w:val="39"/>
  </w:style>
  <w:style w:type="paragraph" w:styleId="17">
    <w:name w:val="toc 1"/>
    <w:next w:val="1"/>
    <w:qFormat/>
    <w:uiPriority w:val="39"/>
    <w:pPr>
      <w:jc w:val="both"/>
    </w:pPr>
    <w:rPr>
      <w:rFonts w:ascii="宋体" w:hAnsi="Times New Roman" w:eastAsia="宋体" w:cs="Times New Roman"/>
      <w:sz w:val="21"/>
      <w:lang w:val="en-US" w:eastAsia="zh-CN" w:bidi="ar-SA"/>
    </w:rPr>
  </w:style>
  <w:style w:type="paragraph" w:styleId="18">
    <w:name w:val="Document Map"/>
    <w:basedOn w:val="1"/>
    <w:link w:val="130"/>
    <w:qFormat/>
    <w:uiPriority w:val="0"/>
    <w:pPr>
      <w:shd w:val="clear" w:color="auto" w:fill="000080"/>
    </w:pPr>
  </w:style>
  <w:style w:type="paragraph" w:styleId="19">
    <w:name w:val="annotation text"/>
    <w:basedOn w:val="1"/>
    <w:semiHidden/>
    <w:qFormat/>
    <w:uiPriority w:val="0"/>
    <w:pPr>
      <w:jc w:val="left"/>
    </w:pPr>
  </w:style>
  <w:style w:type="paragraph" w:styleId="20">
    <w:name w:val="Body Text"/>
    <w:basedOn w:val="1"/>
    <w:link w:val="139"/>
    <w:qFormat/>
    <w:uiPriority w:val="0"/>
    <w:pPr>
      <w:spacing w:after="120"/>
    </w:pPr>
  </w:style>
  <w:style w:type="paragraph" w:styleId="21">
    <w:name w:val="Body Text Indent"/>
    <w:basedOn w:val="1"/>
    <w:link w:val="141"/>
    <w:qFormat/>
    <w:uiPriority w:val="0"/>
    <w:pPr>
      <w:ind w:firstLine="640"/>
      <w:jc w:val="left"/>
    </w:pPr>
    <w:rPr>
      <w:sz w:val="32"/>
      <w:szCs w:val="20"/>
    </w:rPr>
  </w:style>
  <w:style w:type="paragraph" w:styleId="22">
    <w:name w:val="HTML Address"/>
    <w:basedOn w:val="1"/>
    <w:link w:val="64"/>
    <w:uiPriority w:val="0"/>
    <w:rPr>
      <w:i/>
      <w:iCs/>
    </w:rPr>
  </w:style>
  <w:style w:type="paragraph" w:styleId="23">
    <w:name w:val="Plain Text"/>
    <w:basedOn w:val="1"/>
    <w:link w:val="54"/>
    <w:uiPriority w:val="0"/>
    <w:rPr>
      <w:rFonts w:hint="eastAsia" w:ascii="宋体" w:hAnsi="Courier New"/>
      <w:szCs w:val="20"/>
    </w:rPr>
  </w:style>
  <w:style w:type="paragraph" w:styleId="24">
    <w:name w:val="toc 8"/>
    <w:basedOn w:val="11"/>
    <w:next w:val="1"/>
    <w:uiPriority w:val="0"/>
  </w:style>
  <w:style w:type="paragraph" w:styleId="25">
    <w:name w:val="Date"/>
    <w:basedOn w:val="1"/>
    <w:next w:val="1"/>
    <w:uiPriority w:val="0"/>
    <w:pPr>
      <w:ind w:left="100" w:leftChars="2500"/>
    </w:pPr>
  </w:style>
  <w:style w:type="paragraph" w:styleId="26">
    <w:name w:val="Body Text Indent 2"/>
    <w:basedOn w:val="1"/>
    <w:link w:val="129"/>
    <w:uiPriority w:val="0"/>
    <w:pPr>
      <w:ind w:firstLine="600" w:firstLineChars="200"/>
      <w:jc w:val="left"/>
    </w:pPr>
    <w:rPr>
      <w:sz w:val="30"/>
    </w:rPr>
  </w:style>
  <w:style w:type="paragraph" w:styleId="27">
    <w:name w:val="Balloon Text"/>
    <w:basedOn w:val="1"/>
    <w:semiHidden/>
    <w:qFormat/>
    <w:uiPriority w:val="0"/>
    <w:rPr>
      <w:sz w:val="18"/>
      <w:szCs w:val="18"/>
    </w:rPr>
  </w:style>
  <w:style w:type="paragraph" w:styleId="28">
    <w:name w:val="footer"/>
    <w:basedOn w:val="1"/>
    <w:link w:val="140"/>
    <w:uiPriority w:val="0"/>
    <w:pPr>
      <w:tabs>
        <w:tab w:val="center" w:pos="4153"/>
        <w:tab w:val="right" w:pos="8306"/>
      </w:tabs>
      <w:snapToGrid w:val="0"/>
      <w:jc w:val="left"/>
    </w:pPr>
    <w:rPr>
      <w:sz w:val="18"/>
      <w:szCs w:val="18"/>
    </w:rPr>
  </w:style>
  <w:style w:type="paragraph" w:styleId="29">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30">
    <w:name w:val="footnote text"/>
    <w:basedOn w:val="1"/>
    <w:link w:val="103"/>
    <w:qFormat/>
    <w:uiPriority w:val="0"/>
    <w:pPr>
      <w:snapToGrid w:val="0"/>
      <w:jc w:val="left"/>
    </w:pPr>
    <w:rPr>
      <w:sz w:val="18"/>
      <w:szCs w:val="18"/>
    </w:rPr>
  </w:style>
  <w:style w:type="paragraph" w:styleId="31">
    <w:name w:val="toc 9"/>
    <w:basedOn w:val="24"/>
    <w:next w:val="1"/>
    <w:qFormat/>
    <w:uiPriority w:val="0"/>
  </w:style>
  <w:style w:type="paragraph" w:styleId="32">
    <w:name w:val="HTML Preformatted"/>
    <w:basedOn w:val="1"/>
    <w:link w:val="65"/>
    <w:uiPriority w:val="0"/>
    <w:rPr>
      <w:rFonts w:ascii="Courier New" w:hAnsi="Courier New" w:cs="Courier New"/>
      <w:sz w:val="20"/>
      <w:szCs w:val="20"/>
    </w:rPr>
  </w:style>
  <w:style w:type="paragraph" w:styleId="33">
    <w:name w:val="Title"/>
    <w:basedOn w:val="1"/>
    <w:link w:val="66"/>
    <w:qFormat/>
    <w:uiPriority w:val="0"/>
    <w:pPr>
      <w:spacing w:before="240" w:after="60"/>
      <w:jc w:val="center"/>
      <w:outlineLvl w:val="0"/>
    </w:pPr>
    <w:rPr>
      <w:rFonts w:ascii="Arial" w:hAnsi="Arial" w:cs="Arial"/>
      <w:b/>
      <w:bCs/>
      <w:sz w:val="32"/>
      <w:szCs w:val="32"/>
    </w:rPr>
  </w:style>
  <w:style w:type="paragraph" w:styleId="34">
    <w:name w:val="annotation subject"/>
    <w:basedOn w:val="19"/>
    <w:next w:val="19"/>
    <w:semiHidden/>
    <w:uiPriority w:val="0"/>
    <w:rPr>
      <w:b/>
      <w:bCs/>
    </w:rPr>
  </w:style>
  <w:style w:type="table" w:styleId="36">
    <w:name w:val="Table Grid"/>
    <w:basedOn w:val="3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page number"/>
    <w:basedOn w:val="37"/>
    <w:qFormat/>
    <w:uiPriority w:val="0"/>
  </w:style>
  <w:style w:type="character" w:styleId="39">
    <w:name w:val="FollowedHyperlink"/>
    <w:uiPriority w:val="0"/>
    <w:rPr>
      <w:color w:val="800080"/>
      <w:u w:val="single"/>
    </w:rPr>
  </w:style>
  <w:style w:type="character" w:styleId="40">
    <w:name w:val="Emphasis"/>
    <w:qFormat/>
    <w:uiPriority w:val="20"/>
    <w:rPr>
      <w:i/>
      <w:iCs/>
    </w:rPr>
  </w:style>
  <w:style w:type="character" w:styleId="41">
    <w:name w:val="line number"/>
    <w:basedOn w:val="37"/>
    <w:uiPriority w:val="0"/>
  </w:style>
  <w:style w:type="character" w:styleId="42">
    <w:name w:val="HTML Definition"/>
    <w:uiPriority w:val="0"/>
    <w:rPr>
      <w:i/>
      <w:iCs/>
    </w:rPr>
  </w:style>
  <w:style w:type="character" w:styleId="43">
    <w:name w:val="HTML Typewriter"/>
    <w:uiPriority w:val="0"/>
    <w:rPr>
      <w:rFonts w:ascii="Courier New" w:hAnsi="Courier New"/>
      <w:sz w:val="20"/>
      <w:szCs w:val="20"/>
    </w:rPr>
  </w:style>
  <w:style w:type="character" w:styleId="44">
    <w:name w:val="HTML Acronym"/>
    <w:basedOn w:val="37"/>
    <w:uiPriority w:val="0"/>
  </w:style>
  <w:style w:type="character" w:styleId="45">
    <w:name w:val="HTML Variable"/>
    <w:uiPriority w:val="0"/>
    <w:rPr>
      <w:i/>
      <w:iCs/>
    </w:rPr>
  </w:style>
  <w:style w:type="character" w:styleId="46">
    <w:name w:val="Hyperlink"/>
    <w:qFormat/>
    <w:uiPriority w:val="99"/>
    <w:rPr>
      <w:rFonts w:ascii="Times New Roman" w:hAnsi="Times New Roman" w:eastAsia="宋体"/>
      <w:color w:val="auto"/>
      <w:spacing w:val="0"/>
      <w:w w:val="100"/>
      <w:position w:val="0"/>
      <w:sz w:val="21"/>
      <w:u w:val="none"/>
      <w:vertAlign w:val="baseline"/>
    </w:rPr>
  </w:style>
  <w:style w:type="character" w:styleId="47">
    <w:name w:val="HTML Code"/>
    <w:uiPriority w:val="0"/>
    <w:rPr>
      <w:rFonts w:ascii="Courier New" w:hAnsi="Courier New"/>
      <w:sz w:val="20"/>
      <w:szCs w:val="20"/>
    </w:rPr>
  </w:style>
  <w:style w:type="character" w:styleId="48">
    <w:name w:val="annotation reference"/>
    <w:semiHidden/>
    <w:uiPriority w:val="0"/>
    <w:rPr>
      <w:sz w:val="21"/>
      <w:szCs w:val="21"/>
    </w:rPr>
  </w:style>
  <w:style w:type="character" w:styleId="49">
    <w:name w:val="HTML Cite"/>
    <w:uiPriority w:val="0"/>
    <w:rPr>
      <w:i/>
      <w:iCs/>
    </w:rPr>
  </w:style>
  <w:style w:type="character" w:styleId="50">
    <w:name w:val="footnote reference"/>
    <w:uiPriority w:val="0"/>
    <w:rPr>
      <w:vertAlign w:val="superscript"/>
    </w:rPr>
  </w:style>
  <w:style w:type="character" w:styleId="51">
    <w:name w:val="HTML Keyboard"/>
    <w:uiPriority w:val="0"/>
    <w:rPr>
      <w:rFonts w:ascii="Courier New" w:hAnsi="Courier New"/>
      <w:sz w:val="20"/>
      <w:szCs w:val="20"/>
    </w:rPr>
  </w:style>
  <w:style w:type="character" w:styleId="52">
    <w:name w:val="HTML Sample"/>
    <w:uiPriority w:val="0"/>
    <w:rPr>
      <w:rFonts w:ascii="Courier New" w:hAnsi="Courier New"/>
    </w:rPr>
  </w:style>
  <w:style w:type="paragraph" w:customStyle="1" w:styleId="53">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4">
    <w:name w:val="纯文本 字符"/>
    <w:link w:val="23"/>
    <w:qFormat/>
    <w:uiPriority w:val="0"/>
    <w:rPr>
      <w:rFonts w:ascii="宋体" w:hAnsi="Courier New"/>
      <w:kern w:val="2"/>
      <w:sz w:val="21"/>
    </w:rPr>
  </w:style>
  <w:style w:type="character" w:customStyle="1" w:styleId="55">
    <w:name w:val="标题 1 字符"/>
    <w:link w:val="2"/>
    <w:qFormat/>
    <w:uiPriority w:val="0"/>
    <w:rPr>
      <w:b/>
      <w:bCs/>
      <w:kern w:val="44"/>
      <w:sz w:val="44"/>
      <w:szCs w:val="44"/>
    </w:rPr>
  </w:style>
  <w:style w:type="character" w:customStyle="1" w:styleId="56">
    <w:name w:val="标题 2 字符"/>
    <w:link w:val="3"/>
    <w:uiPriority w:val="0"/>
    <w:rPr>
      <w:rFonts w:ascii="Arial" w:hAnsi="Arial" w:eastAsia="黑体"/>
      <w:b/>
      <w:bCs/>
      <w:kern w:val="2"/>
      <w:sz w:val="32"/>
      <w:szCs w:val="32"/>
    </w:rPr>
  </w:style>
  <w:style w:type="character" w:customStyle="1" w:styleId="57">
    <w:name w:val="标题 3 字符"/>
    <w:link w:val="4"/>
    <w:uiPriority w:val="0"/>
    <w:rPr>
      <w:b/>
      <w:bCs/>
      <w:kern w:val="2"/>
      <w:sz w:val="32"/>
      <w:szCs w:val="32"/>
    </w:rPr>
  </w:style>
  <w:style w:type="character" w:customStyle="1" w:styleId="58">
    <w:name w:val="标题 4 字符"/>
    <w:link w:val="5"/>
    <w:qFormat/>
    <w:uiPriority w:val="0"/>
    <w:rPr>
      <w:rFonts w:ascii="Arial" w:hAnsi="Arial" w:eastAsia="黑体"/>
      <w:b/>
      <w:bCs/>
      <w:kern w:val="2"/>
      <w:sz w:val="28"/>
      <w:szCs w:val="28"/>
    </w:rPr>
  </w:style>
  <w:style w:type="character" w:customStyle="1" w:styleId="59">
    <w:name w:val="标题 5 字符"/>
    <w:link w:val="6"/>
    <w:qFormat/>
    <w:uiPriority w:val="0"/>
    <w:rPr>
      <w:b/>
      <w:bCs/>
      <w:kern w:val="2"/>
      <w:sz w:val="28"/>
      <w:szCs w:val="28"/>
    </w:rPr>
  </w:style>
  <w:style w:type="character" w:customStyle="1" w:styleId="60">
    <w:name w:val="标题 6 字符"/>
    <w:link w:val="7"/>
    <w:uiPriority w:val="0"/>
    <w:rPr>
      <w:rFonts w:ascii="Arial" w:hAnsi="Arial" w:eastAsia="黑体"/>
      <w:b/>
      <w:bCs/>
      <w:kern w:val="2"/>
      <w:sz w:val="24"/>
      <w:szCs w:val="24"/>
    </w:rPr>
  </w:style>
  <w:style w:type="character" w:customStyle="1" w:styleId="61">
    <w:name w:val="标题 7 字符"/>
    <w:link w:val="8"/>
    <w:uiPriority w:val="0"/>
    <w:rPr>
      <w:b/>
      <w:bCs/>
      <w:kern w:val="2"/>
      <w:sz w:val="24"/>
      <w:szCs w:val="24"/>
    </w:rPr>
  </w:style>
  <w:style w:type="character" w:customStyle="1" w:styleId="62">
    <w:name w:val="标题 8 字符"/>
    <w:link w:val="9"/>
    <w:uiPriority w:val="0"/>
    <w:rPr>
      <w:rFonts w:ascii="Arial" w:hAnsi="Arial" w:eastAsia="黑体"/>
      <w:kern w:val="2"/>
      <w:sz w:val="24"/>
      <w:szCs w:val="24"/>
    </w:rPr>
  </w:style>
  <w:style w:type="character" w:customStyle="1" w:styleId="63">
    <w:name w:val="标题 9 字符"/>
    <w:link w:val="10"/>
    <w:qFormat/>
    <w:uiPriority w:val="0"/>
    <w:rPr>
      <w:rFonts w:ascii="Arial" w:hAnsi="Arial" w:eastAsia="黑体"/>
      <w:kern w:val="2"/>
      <w:sz w:val="21"/>
      <w:szCs w:val="21"/>
    </w:rPr>
  </w:style>
  <w:style w:type="character" w:customStyle="1" w:styleId="64">
    <w:name w:val="HTML 地址 字符"/>
    <w:link w:val="22"/>
    <w:uiPriority w:val="0"/>
    <w:rPr>
      <w:i/>
      <w:iCs/>
      <w:kern w:val="2"/>
      <w:sz w:val="21"/>
      <w:szCs w:val="24"/>
    </w:rPr>
  </w:style>
  <w:style w:type="character" w:customStyle="1" w:styleId="65">
    <w:name w:val="HTML 预设格式 字符"/>
    <w:link w:val="32"/>
    <w:uiPriority w:val="0"/>
    <w:rPr>
      <w:rFonts w:ascii="Courier New" w:hAnsi="Courier New" w:cs="Courier New"/>
      <w:kern w:val="2"/>
    </w:rPr>
  </w:style>
  <w:style w:type="character" w:customStyle="1" w:styleId="66">
    <w:name w:val="标题 字符"/>
    <w:link w:val="33"/>
    <w:qFormat/>
    <w:uiPriority w:val="0"/>
    <w:rPr>
      <w:rFonts w:ascii="Arial" w:hAnsi="Arial" w:cs="Arial"/>
      <w:b/>
      <w:bCs/>
      <w:kern w:val="2"/>
      <w:sz w:val="32"/>
      <w:szCs w:val="32"/>
    </w:rPr>
  </w:style>
  <w:style w:type="paragraph" w:customStyle="1" w:styleId="67">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69">
    <w:name w:val="标准书脚_偶数页"/>
    <w:uiPriority w:val="0"/>
    <w:pPr>
      <w:spacing w:before="120"/>
    </w:pPr>
    <w:rPr>
      <w:rFonts w:ascii="Times New Roman" w:hAnsi="Times New Roman" w:eastAsia="宋体" w:cs="Times New Roman"/>
      <w:sz w:val="18"/>
      <w:lang w:val="en-US" w:eastAsia="zh-CN" w:bidi="ar-SA"/>
    </w:rPr>
  </w:style>
  <w:style w:type="paragraph" w:customStyle="1" w:styleId="70">
    <w:name w:val="标准书脚_奇数页"/>
    <w:uiPriority w:val="0"/>
    <w:pPr>
      <w:spacing w:before="120"/>
      <w:jc w:val="right"/>
    </w:pPr>
    <w:rPr>
      <w:rFonts w:ascii="Times New Roman" w:hAnsi="Times New Roman" w:eastAsia="宋体" w:cs="Times New Roman"/>
      <w:sz w:val="18"/>
      <w:lang w:val="en-US" w:eastAsia="zh-CN" w:bidi="ar-SA"/>
    </w:rPr>
  </w:style>
  <w:style w:type="paragraph" w:customStyle="1" w:styleId="7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2">
    <w:name w:val="标准书眉_偶数页"/>
    <w:basedOn w:val="71"/>
    <w:next w:val="1"/>
    <w:qFormat/>
    <w:uiPriority w:val="0"/>
    <w:pPr>
      <w:jc w:val="left"/>
    </w:pPr>
  </w:style>
  <w:style w:type="paragraph" w:customStyle="1" w:styleId="73">
    <w:name w:val="标准书眉一"/>
    <w:qFormat/>
    <w:uiPriority w:val="0"/>
    <w:pPr>
      <w:jc w:val="both"/>
    </w:pPr>
    <w:rPr>
      <w:rFonts w:ascii="Times New Roman" w:hAnsi="Times New Roman" w:eastAsia="宋体" w:cs="Times New Roman"/>
      <w:lang w:val="en-US" w:eastAsia="zh-CN" w:bidi="ar-SA"/>
    </w:rPr>
  </w:style>
  <w:style w:type="paragraph" w:customStyle="1" w:styleId="74">
    <w:name w:val="前言、引言标题"/>
    <w:next w:val="1"/>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5">
    <w:name w:val="参考文献、索引标题"/>
    <w:basedOn w:val="74"/>
    <w:next w:val="1"/>
    <w:qFormat/>
    <w:uiPriority w:val="0"/>
    <w:pPr>
      <w:numPr>
        <w:numId w:val="0"/>
      </w:numPr>
      <w:spacing w:after="200"/>
    </w:pPr>
    <w:rPr>
      <w:sz w:val="21"/>
    </w:rPr>
  </w:style>
  <w:style w:type="paragraph" w:customStyle="1" w:styleId="76">
    <w:name w:val="章标题"/>
    <w:next w:val="53"/>
    <w:link w:val="131"/>
    <w:qFormat/>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77">
    <w:name w:val="一级条标题"/>
    <w:basedOn w:val="76"/>
    <w:next w:val="53"/>
    <w:link w:val="132"/>
    <w:uiPriority w:val="0"/>
    <w:pPr>
      <w:numPr>
        <w:ilvl w:val="2"/>
      </w:numPr>
      <w:spacing w:beforeLines="0" w:afterLines="0"/>
      <w:outlineLvl w:val="2"/>
    </w:pPr>
  </w:style>
  <w:style w:type="paragraph" w:customStyle="1" w:styleId="78">
    <w:name w:val="二级条标题"/>
    <w:basedOn w:val="77"/>
    <w:next w:val="53"/>
    <w:link w:val="133"/>
    <w:qFormat/>
    <w:uiPriority w:val="0"/>
    <w:pPr>
      <w:numPr>
        <w:ilvl w:val="3"/>
      </w:numPr>
      <w:outlineLvl w:val="3"/>
    </w:pPr>
  </w:style>
  <w:style w:type="paragraph" w:customStyle="1" w:styleId="79">
    <w:name w:val="二级无标题条"/>
    <w:basedOn w:val="1"/>
    <w:qFormat/>
    <w:uiPriority w:val="0"/>
    <w:pPr>
      <w:numPr>
        <w:ilvl w:val="3"/>
        <w:numId w:val="2"/>
      </w:numPr>
    </w:pPr>
  </w:style>
  <w:style w:type="character" w:customStyle="1" w:styleId="80">
    <w:name w:val="发布"/>
    <w:qFormat/>
    <w:uiPriority w:val="0"/>
    <w:rPr>
      <w:rFonts w:ascii="黑体" w:eastAsia="黑体"/>
      <w:spacing w:val="22"/>
      <w:w w:val="100"/>
      <w:position w:val="3"/>
      <w:sz w:val="28"/>
    </w:rPr>
  </w:style>
  <w:style w:type="paragraph" w:customStyle="1" w:styleId="81">
    <w:name w:val="发布部门"/>
    <w:next w:val="53"/>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8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8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4">
    <w:name w:val="封面标准号2"/>
    <w:basedOn w:val="83"/>
    <w:qFormat/>
    <w:uiPriority w:val="0"/>
    <w:pPr>
      <w:framePr w:w="9138" w:h="1244" w:hRule="exact" w:wrap="around" w:vAnchor="page" w:hAnchor="margin" w:y="2908"/>
      <w:adjustRightInd w:val="0"/>
      <w:spacing w:before="357" w:line="280" w:lineRule="exact"/>
    </w:pPr>
  </w:style>
  <w:style w:type="paragraph" w:customStyle="1" w:styleId="85">
    <w:name w:val="封面标准代替信息"/>
    <w:basedOn w:val="84"/>
    <w:qFormat/>
    <w:uiPriority w:val="0"/>
    <w:pPr>
      <w:framePr w:wrap="around"/>
      <w:spacing w:before="57"/>
    </w:pPr>
    <w:rPr>
      <w:rFonts w:ascii="宋体"/>
      <w:sz w:val="21"/>
    </w:rPr>
  </w:style>
  <w:style w:type="paragraph" w:customStyle="1" w:styleId="8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8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89">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9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91">
    <w:name w:val="封面正文"/>
    <w:qFormat/>
    <w:uiPriority w:val="0"/>
    <w:pPr>
      <w:jc w:val="both"/>
    </w:pPr>
    <w:rPr>
      <w:rFonts w:ascii="Times New Roman" w:hAnsi="Times New Roman" w:eastAsia="宋体" w:cs="Times New Roman"/>
      <w:lang w:val="en-US" w:eastAsia="zh-CN" w:bidi="ar-SA"/>
    </w:rPr>
  </w:style>
  <w:style w:type="paragraph" w:customStyle="1" w:styleId="92">
    <w:name w:val="附录标识"/>
    <w:basedOn w:val="74"/>
    <w:qFormat/>
    <w:uiPriority w:val="0"/>
    <w:pPr>
      <w:numPr>
        <w:ilvl w:val="0"/>
        <w:numId w:val="3"/>
      </w:numPr>
      <w:tabs>
        <w:tab w:val="left" w:pos="6405"/>
      </w:tabs>
      <w:spacing w:after="200"/>
    </w:pPr>
    <w:rPr>
      <w:sz w:val="21"/>
    </w:rPr>
  </w:style>
  <w:style w:type="paragraph" w:customStyle="1" w:styleId="93">
    <w:name w:val="附录表标题"/>
    <w:next w:val="53"/>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94">
    <w:name w:val="附录章标题"/>
    <w:next w:val="53"/>
    <w:qFormat/>
    <w:uiPriority w:val="0"/>
    <w:pPr>
      <w:numPr>
        <w:ilvl w:val="1"/>
        <w:numId w:val="3"/>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5">
    <w:name w:val="附录一级条标题"/>
    <w:basedOn w:val="94"/>
    <w:next w:val="53"/>
    <w:qFormat/>
    <w:uiPriority w:val="0"/>
    <w:pPr>
      <w:numPr>
        <w:ilvl w:val="2"/>
      </w:numPr>
      <w:autoSpaceDN w:val="0"/>
      <w:spacing w:beforeLines="0" w:afterLines="0"/>
      <w:outlineLvl w:val="2"/>
    </w:pPr>
  </w:style>
  <w:style w:type="paragraph" w:customStyle="1" w:styleId="96">
    <w:name w:val="附录二级条标题"/>
    <w:basedOn w:val="95"/>
    <w:next w:val="53"/>
    <w:qFormat/>
    <w:uiPriority w:val="0"/>
    <w:pPr>
      <w:numPr>
        <w:ilvl w:val="3"/>
      </w:numPr>
      <w:outlineLvl w:val="3"/>
    </w:pPr>
  </w:style>
  <w:style w:type="paragraph" w:customStyle="1" w:styleId="97">
    <w:name w:val="附录三级条标题"/>
    <w:basedOn w:val="96"/>
    <w:next w:val="53"/>
    <w:qFormat/>
    <w:uiPriority w:val="0"/>
    <w:pPr>
      <w:numPr>
        <w:ilvl w:val="4"/>
      </w:numPr>
      <w:outlineLvl w:val="4"/>
    </w:pPr>
  </w:style>
  <w:style w:type="paragraph" w:customStyle="1" w:styleId="98">
    <w:name w:val="附录四级条标题"/>
    <w:basedOn w:val="97"/>
    <w:next w:val="53"/>
    <w:qFormat/>
    <w:uiPriority w:val="0"/>
    <w:pPr>
      <w:numPr>
        <w:ilvl w:val="5"/>
      </w:numPr>
      <w:outlineLvl w:val="5"/>
    </w:pPr>
  </w:style>
  <w:style w:type="paragraph" w:customStyle="1" w:styleId="99">
    <w:name w:val="附录图标题"/>
    <w:next w:val="53"/>
    <w:qFormat/>
    <w:uiPriority w:val="0"/>
    <w:pPr>
      <w:jc w:val="center"/>
    </w:pPr>
    <w:rPr>
      <w:rFonts w:ascii="黑体" w:hAnsi="Times New Roman" w:eastAsia="黑体" w:cs="Times New Roman"/>
      <w:sz w:val="21"/>
      <w:lang w:val="en-US" w:eastAsia="zh-CN" w:bidi="ar-SA"/>
    </w:rPr>
  </w:style>
  <w:style w:type="paragraph" w:customStyle="1" w:styleId="100">
    <w:name w:val="附录五级条标题"/>
    <w:basedOn w:val="98"/>
    <w:next w:val="53"/>
    <w:qFormat/>
    <w:uiPriority w:val="0"/>
    <w:pPr>
      <w:numPr>
        <w:ilvl w:val="6"/>
      </w:numPr>
      <w:outlineLvl w:val="6"/>
    </w:pPr>
  </w:style>
  <w:style w:type="character" w:customStyle="1" w:styleId="101">
    <w:name w:val="个人答复风格"/>
    <w:qFormat/>
    <w:uiPriority w:val="0"/>
    <w:rPr>
      <w:rFonts w:ascii="Arial" w:hAnsi="Arial" w:eastAsia="宋体" w:cs="Arial"/>
      <w:color w:val="auto"/>
      <w:sz w:val="20"/>
    </w:rPr>
  </w:style>
  <w:style w:type="character" w:customStyle="1" w:styleId="102">
    <w:name w:val="个人撰写风格"/>
    <w:qFormat/>
    <w:uiPriority w:val="0"/>
    <w:rPr>
      <w:rFonts w:ascii="Arial" w:hAnsi="Arial" w:eastAsia="宋体" w:cs="Arial"/>
      <w:color w:val="auto"/>
      <w:sz w:val="20"/>
    </w:rPr>
  </w:style>
  <w:style w:type="character" w:customStyle="1" w:styleId="103">
    <w:name w:val="脚注文本 字符"/>
    <w:link w:val="30"/>
    <w:qFormat/>
    <w:uiPriority w:val="0"/>
    <w:rPr>
      <w:kern w:val="2"/>
      <w:sz w:val="18"/>
      <w:szCs w:val="18"/>
    </w:rPr>
  </w:style>
  <w:style w:type="paragraph" w:customStyle="1" w:styleId="104">
    <w:name w:val="列项——"/>
    <w:qFormat/>
    <w:uiPriority w:val="0"/>
    <w:pPr>
      <w:widowControl w:val="0"/>
      <w:numPr>
        <w:ilvl w:val="0"/>
        <w:numId w:val="4"/>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105">
    <w:name w:val="列项·"/>
    <w:qFormat/>
    <w:uiPriority w:val="0"/>
    <w:pPr>
      <w:numPr>
        <w:ilvl w:val="0"/>
        <w:numId w:val="5"/>
      </w:numPr>
      <w:tabs>
        <w:tab w:val="left" w:pos="840"/>
        <w:tab w:val="clear" w:pos="1140"/>
      </w:tabs>
      <w:ind w:left="840" w:leftChars="200" w:hanging="420" w:hangingChars="200"/>
      <w:jc w:val="both"/>
    </w:pPr>
    <w:rPr>
      <w:rFonts w:ascii="宋体" w:hAnsi="Times New Roman" w:eastAsia="宋体" w:cs="Times New Roman"/>
      <w:sz w:val="21"/>
      <w:lang w:val="en-US" w:eastAsia="zh-CN" w:bidi="ar-SA"/>
    </w:rPr>
  </w:style>
  <w:style w:type="paragraph" w:customStyle="1" w:styleId="106">
    <w:name w:val="目次、标准名称标题"/>
    <w:basedOn w:val="74"/>
    <w:next w:val="53"/>
    <w:qFormat/>
    <w:uiPriority w:val="0"/>
    <w:pPr>
      <w:numPr>
        <w:numId w:val="0"/>
      </w:numPr>
      <w:spacing w:line="460" w:lineRule="exact"/>
    </w:pPr>
  </w:style>
  <w:style w:type="paragraph" w:customStyle="1" w:styleId="10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09">
    <w:name w:val="其他发布部门"/>
    <w:basedOn w:val="81"/>
    <w:qFormat/>
    <w:uiPriority w:val="0"/>
    <w:pPr>
      <w:framePr w:wrap="around"/>
      <w:spacing w:line="0" w:lineRule="atLeast"/>
    </w:pPr>
    <w:rPr>
      <w:rFonts w:ascii="黑体" w:eastAsia="黑体"/>
      <w:b w:val="0"/>
    </w:rPr>
  </w:style>
  <w:style w:type="paragraph" w:customStyle="1" w:styleId="110">
    <w:name w:val="三级条标题"/>
    <w:basedOn w:val="78"/>
    <w:next w:val="53"/>
    <w:link w:val="134"/>
    <w:qFormat/>
    <w:uiPriority w:val="0"/>
    <w:pPr>
      <w:numPr>
        <w:ilvl w:val="4"/>
      </w:numPr>
      <w:outlineLvl w:val="4"/>
    </w:pPr>
  </w:style>
  <w:style w:type="paragraph" w:customStyle="1" w:styleId="111">
    <w:name w:val="三级无标题条"/>
    <w:basedOn w:val="1"/>
    <w:qFormat/>
    <w:uiPriority w:val="0"/>
    <w:pPr>
      <w:numPr>
        <w:ilvl w:val="4"/>
        <w:numId w:val="2"/>
      </w:numPr>
    </w:pPr>
  </w:style>
  <w:style w:type="paragraph" w:customStyle="1" w:styleId="112">
    <w:name w:val="实施日期"/>
    <w:basedOn w:val="82"/>
    <w:qFormat/>
    <w:uiPriority w:val="0"/>
    <w:pPr>
      <w:framePr w:hSpace="0" w:wrap="around" w:xAlign="right"/>
      <w:jc w:val="right"/>
    </w:pPr>
  </w:style>
  <w:style w:type="paragraph" w:customStyle="1" w:styleId="113">
    <w:name w:val="示例"/>
    <w:next w:val="53"/>
    <w:qFormat/>
    <w:uiPriority w:val="0"/>
    <w:pPr>
      <w:numPr>
        <w:ilvl w:val="0"/>
        <w:numId w:val="6"/>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114">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5">
    <w:name w:val="四级条标题"/>
    <w:basedOn w:val="110"/>
    <w:next w:val="53"/>
    <w:qFormat/>
    <w:uiPriority w:val="0"/>
    <w:pPr>
      <w:numPr>
        <w:ilvl w:val="5"/>
      </w:numPr>
      <w:tabs>
        <w:tab w:val="left" w:pos="2520"/>
      </w:tabs>
      <w:ind w:left="2520" w:hanging="420"/>
      <w:outlineLvl w:val="5"/>
    </w:pPr>
  </w:style>
  <w:style w:type="paragraph" w:customStyle="1" w:styleId="116">
    <w:name w:val="四级无标题条"/>
    <w:basedOn w:val="1"/>
    <w:qFormat/>
    <w:uiPriority w:val="0"/>
    <w:pPr>
      <w:numPr>
        <w:ilvl w:val="5"/>
        <w:numId w:val="2"/>
      </w:numPr>
    </w:pPr>
  </w:style>
  <w:style w:type="paragraph" w:customStyle="1" w:styleId="117">
    <w:name w:val="条文脚注"/>
    <w:basedOn w:val="30"/>
    <w:qFormat/>
    <w:uiPriority w:val="0"/>
    <w:pPr>
      <w:ind w:left="780" w:leftChars="200" w:hanging="360" w:hangingChars="200"/>
      <w:jc w:val="both"/>
    </w:pPr>
    <w:rPr>
      <w:rFonts w:ascii="宋体"/>
    </w:rPr>
  </w:style>
  <w:style w:type="paragraph" w:customStyle="1" w:styleId="118">
    <w:name w:val="图表脚注"/>
    <w:next w:val="53"/>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1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20">
    <w:name w:val="无标题条"/>
    <w:next w:val="53"/>
    <w:qFormat/>
    <w:uiPriority w:val="0"/>
    <w:pPr>
      <w:jc w:val="both"/>
    </w:pPr>
    <w:rPr>
      <w:rFonts w:ascii="Times New Roman" w:hAnsi="Times New Roman" w:eastAsia="宋体" w:cs="Times New Roman"/>
      <w:sz w:val="21"/>
      <w:lang w:val="en-US" w:eastAsia="zh-CN" w:bidi="ar-SA"/>
    </w:rPr>
  </w:style>
  <w:style w:type="paragraph" w:customStyle="1" w:styleId="121">
    <w:name w:val="五级条标题"/>
    <w:basedOn w:val="115"/>
    <w:next w:val="53"/>
    <w:qFormat/>
    <w:uiPriority w:val="0"/>
    <w:pPr>
      <w:numPr>
        <w:ilvl w:val="6"/>
      </w:numPr>
      <w:tabs>
        <w:tab w:val="left" w:pos="1800"/>
      </w:tabs>
      <w:ind w:left="1800" w:hanging="1800"/>
      <w:outlineLvl w:val="6"/>
    </w:pPr>
  </w:style>
  <w:style w:type="paragraph" w:customStyle="1" w:styleId="122">
    <w:name w:val="五级无标题条"/>
    <w:basedOn w:val="1"/>
    <w:qFormat/>
    <w:uiPriority w:val="0"/>
    <w:pPr>
      <w:numPr>
        <w:ilvl w:val="6"/>
        <w:numId w:val="2"/>
      </w:numPr>
    </w:pPr>
  </w:style>
  <w:style w:type="paragraph" w:customStyle="1" w:styleId="123">
    <w:name w:val="一级无标题条"/>
    <w:basedOn w:val="1"/>
    <w:qFormat/>
    <w:uiPriority w:val="0"/>
    <w:pPr>
      <w:numPr>
        <w:ilvl w:val="2"/>
        <w:numId w:val="2"/>
      </w:numPr>
    </w:pPr>
  </w:style>
  <w:style w:type="paragraph" w:customStyle="1" w:styleId="124">
    <w:name w:val="正文表标题"/>
    <w:next w:val="53"/>
    <w:qFormat/>
    <w:uiPriority w:val="0"/>
    <w:pPr>
      <w:numPr>
        <w:ilvl w:val="0"/>
        <w:numId w:val="7"/>
      </w:numPr>
      <w:jc w:val="center"/>
    </w:pPr>
    <w:rPr>
      <w:rFonts w:ascii="黑体" w:hAnsi="Times New Roman" w:eastAsia="黑体" w:cs="Times New Roman"/>
      <w:sz w:val="21"/>
      <w:lang w:val="en-US" w:eastAsia="zh-CN" w:bidi="ar-SA"/>
    </w:rPr>
  </w:style>
  <w:style w:type="paragraph" w:customStyle="1" w:styleId="125">
    <w:name w:val="正文图标题"/>
    <w:next w:val="53"/>
    <w:qFormat/>
    <w:uiPriority w:val="0"/>
    <w:pPr>
      <w:numPr>
        <w:ilvl w:val="0"/>
        <w:numId w:val="8"/>
      </w:numPr>
      <w:jc w:val="center"/>
    </w:pPr>
    <w:rPr>
      <w:rFonts w:ascii="黑体" w:hAnsi="Times New Roman" w:eastAsia="黑体" w:cs="Times New Roman"/>
      <w:sz w:val="21"/>
      <w:lang w:val="en-US" w:eastAsia="zh-CN" w:bidi="ar-SA"/>
    </w:rPr>
  </w:style>
  <w:style w:type="paragraph" w:customStyle="1" w:styleId="126">
    <w:name w:val="注："/>
    <w:next w:val="53"/>
    <w:qFormat/>
    <w:uiPriority w:val="0"/>
    <w:pPr>
      <w:widowControl w:val="0"/>
      <w:numPr>
        <w:ilvl w:val="0"/>
        <w:numId w:val="9"/>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127">
    <w:name w:val="注×："/>
    <w:qFormat/>
    <w:uiPriority w:val="0"/>
    <w:pPr>
      <w:widowControl w:val="0"/>
      <w:numPr>
        <w:ilvl w:val="0"/>
        <w:numId w:val="10"/>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128">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character" w:customStyle="1" w:styleId="129">
    <w:name w:val="正文文本缩进 2 字符"/>
    <w:link w:val="26"/>
    <w:qFormat/>
    <w:uiPriority w:val="0"/>
    <w:rPr>
      <w:kern w:val="2"/>
      <w:sz w:val="30"/>
      <w:szCs w:val="24"/>
    </w:rPr>
  </w:style>
  <w:style w:type="character" w:customStyle="1" w:styleId="130">
    <w:name w:val="文档结构图 字符"/>
    <w:link w:val="18"/>
    <w:qFormat/>
    <w:uiPriority w:val="0"/>
    <w:rPr>
      <w:kern w:val="2"/>
      <w:sz w:val="21"/>
      <w:szCs w:val="24"/>
      <w:shd w:val="clear" w:color="auto" w:fill="000080"/>
    </w:rPr>
  </w:style>
  <w:style w:type="character" w:customStyle="1" w:styleId="131">
    <w:name w:val="章标题 Char"/>
    <w:link w:val="76"/>
    <w:qFormat/>
    <w:uiPriority w:val="0"/>
    <w:rPr>
      <w:rFonts w:ascii="黑体" w:eastAsia="黑体"/>
      <w:sz w:val="21"/>
    </w:rPr>
  </w:style>
  <w:style w:type="character" w:customStyle="1" w:styleId="132">
    <w:name w:val="一级条标题 Char"/>
    <w:basedOn w:val="131"/>
    <w:link w:val="77"/>
    <w:qFormat/>
    <w:uiPriority w:val="0"/>
    <w:rPr>
      <w:rFonts w:ascii="黑体" w:eastAsia="黑体"/>
      <w:sz w:val="21"/>
    </w:rPr>
  </w:style>
  <w:style w:type="character" w:customStyle="1" w:styleId="133">
    <w:name w:val="二级条标题 Char"/>
    <w:basedOn w:val="132"/>
    <w:link w:val="78"/>
    <w:qFormat/>
    <w:uiPriority w:val="0"/>
    <w:rPr>
      <w:rFonts w:ascii="黑体" w:eastAsia="黑体"/>
      <w:sz w:val="21"/>
    </w:rPr>
  </w:style>
  <w:style w:type="character" w:customStyle="1" w:styleId="134">
    <w:name w:val="三级条标题 Char"/>
    <w:basedOn w:val="133"/>
    <w:link w:val="110"/>
    <w:qFormat/>
    <w:uiPriority w:val="0"/>
    <w:rPr>
      <w:rFonts w:ascii="黑体" w:eastAsia="黑体"/>
      <w:sz w:val="21"/>
    </w:rPr>
  </w:style>
  <w:style w:type="paragraph" w:customStyle="1" w:styleId="135">
    <w:name w:val="Char Char1 Char Char Char Char Char Char Char Char"/>
    <w:basedOn w:val="1"/>
    <w:qFormat/>
    <w:uiPriority w:val="0"/>
    <w:pPr>
      <w:widowControl/>
      <w:spacing w:after="160" w:line="240" w:lineRule="exact"/>
      <w:jc w:val="left"/>
    </w:pPr>
    <w:rPr>
      <w:rFonts w:ascii="Verdana" w:hAnsi="Verdana"/>
      <w:kern w:val="0"/>
      <w:sz w:val="18"/>
      <w:szCs w:val="20"/>
      <w:lang w:eastAsia="en-US"/>
    </w:rPr>
  </w:style>
  <w:style w:type="character" w:styleId="136">
    <w:name w:val="Placeholder Text"/>
    <w:basedOn w:val="37"/>
    <w:semiHidden/>
    <w:qFormat/>
    <w:uiPriority w:val="99"/>
    <w:rPr>
      <w:color w:val="808080"/>
    </w:rPr>
  </w:style>
  <w:style w:type="paragraph" w:customStyle="1" w:styleId="13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styleId="138">
    <w:name w:val="List Paragraph"/>
    <w:basedOn w:val="1"/>
    <w:qFormat/>
    <w:uiPriority w:val="34"/>
    <w:pPr>
      <w:widowControl/>
      <w:ind w:firstLine="420" w:firstLineChars="200"/>
      <w:jc w:val="left"/>
    </w:pPr>
    <w:rPr>
      <w:rFonts w:ascii="宋体" w:hAnsi="宋体" w:cs="宋体"/>
      <w:kern w:val="0"/>
      <w:sz w:val="24"/>
    </w:rPr>
  </w:style>
  <w:style w:type="character" w:customStyle="1" w:styleId="139">
    <w:name w:val="正文文本 字符"/>
    <w:basedOn w:val="37"/>
    <w:link w:val="20"/>
    <w:qFormat/>
    <w:uiPriority w:val="0"/>
    <w:rPr>
      <w:kern w:val="2"/>
      <w:sz w:val="21"/>
      <w:szCs w:val="24"/>
    </w:rPr>
  </w:style>
  <w:style w:type="character" w:customStyle="1" w:styleId="140">
    <w:name w:val="页脚 字符"/>
    <w:basedOn w:val="37"/>
    <w:link w:val="28"/>
    <w:qFormat/>
    <w:uiPriority w:val="99"/>
    <w:rPr>
      <w:kern w:val="2"/>
      <w:sz w:val="18"/>
      <w:szCs w:val="18"/>
    </w:rPr>
  </w:style>
  <w:style w:type="character" w:customStyle="1" w:styleId="141">
    <w:name w:val="正文文本缩进 字符"/>
    <w:basedOn w:val="37"/>
    <w:link w:val="21"/>
    <w:qFormat/>
    <w:uiPriority w:val="0"/>
    <w:rPr>
      <w:kern w:val="2"/>
      <w:sz w:val="32"/>
    </w:rPr>
  </w:style>
  <w:style w:type="paragraph" w:customStyle="1" w:styleId="142">
    <w:name w:val="MTDisplayEquation"/>
    <w:basedOn w:val="1"/>
    <w:next w:val="1"/>
    <w:link w:val="143"/>
    <w:qFormat/>
    <w:uiPriority w:val="0"/>
    <w:pPr>
      <w:tabs>
        <w:tab w:val="center" w:pos="4680"/>
        <w:tab w:val="right" w:pos="9360"/>
      </w:tabs>
      <w:snapToGrid w:val="0"/>
      <w:spacing w:line="360" w:lineRule="auto"/>
      <w:jc w:val="center"/>
    </w:pPr>
    <w:rPr>
      <w:sz w:val="18"/>
      <w:szCs w:val="18"/>
    </w:rPr>
  </w:style>
  <w:style w:type="character" w:customStyle="1" w:styleId="143">
    <w:name w:val="MTDisplayEquation Char"/>
    <w:link w:val="142"/>
    <w:qFormat/>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42.wmf"/><Relationship Id="rId98" Type="http://schemas.openxmlformats.org/officeDocument/2006/relationships/oleObject" Target="embeddings/oleObject49.bin"/><Relationship Id="rId97" Type="http://schemas.openxmlformats.org/officeDocument/2006/relationships/image" Target="media/image41.wmf"/><Relationship Id="rId96" Type="http://schemas.openxmlformats.org/officeDocument/2006/relationships/oleObject" Target="embeddings/oleObject48.bin"/><Relationship Id="rId95" Type="http://schemas.openxmlformats.org/officeDocument/2006/relationships/image" Target="media/image40.wmf"/><Relationship Id="rId94" Type="http://schemas.openxmlformats.org/officeDocument/2006/relationships/oleObject" Target="embeddings/oleObject47.bin"/><Relationship Id="rId93" Type="http://schemas.openxmlformats.org/officeDocument/2006/relationships/image" Target="media/image39.wmf"/><Relationship Id="rId92" Type="http://schemas.openxmlformats.org/officeDocument/2006/relationships/oleObject" Target="embeddings/oleObject46.bin"/><Relationship Id="rId91" Type="http://schemas.openxmlformats.org/officeDocument/2006/relationships/image" Target="media/image38.wmf"/><Relationship Id="rId90" Type="http://schemas.openxmlformats.org/officeDocument/2006/relationships/oleObject" Target="embeddings/oleObject45.bin"/><Relationship Id="rId9" Type="http://schemas.openxmlformats.org/officeDocument/2006/relationships/image" Target="media/image1.jpeg"/><Relationship Id="rId89" Type="http://schemas.openxmlformats.org/officeDocument/2006/relationships/image" Target="media/image37.wmf"/><Relationship Id="rId88" Type="http://schemas.openxmlformats.org/officeDocument/2006/relationships/oleObject" Target="embeddings/oleObject44.bin"/><Relationship Id="rId87" Type="http://schemas.openxmlformats.org/officeDocument/2006/relationships/image" Target="media/image36.wmf"/><Relationship Id="rId86" Type="http://schemas.openxmlformats.org/officeDocument/2006/relationships/oleObject" Target="embeddings/oleObject43.bin"/><Relationship Id="rId85" Type="http://schemas.openxmlformats.org/officeDocument/2006/relationships/image" Target="media/image35.wmf"/><Relationship Id="rId84" Type="http://schemas.openxmlformats.org/officeDocument/2006/relationships/oleObject" Target="embeddings/oleObject42.bin"/><Relationship Id="rId83" Type="http://schemas.openxmlformats.org/officeDocument/2006/relationships/image" Target="media/image34.wmf"/><Relationship Id="rId82" Type="http://schemas.openxmlformats.org/officeDocument/2006/relationships/oleObject" Target="embeddings/oleObject41.bin"/><Relationship Id="rId81" Type="http://schemas.openxmlformats.org/officeDocument/2006/relationships/image" Target="media/image33.wmf"/><Relationship Id="rId80" Type="http://schemas.openxmlformats.org/officeDocument/2006/relationships/oleObject" Target="embeddings/oleObject40.bin"/><Relationship Id="rId8" Type="http://schemas.openxmlformats.org/officeDocument/2006/relationships/theme" Target="theme/theme1.xml"/><Relationship Id="rId79" Type="http://schemas.openxmlformats.org/officeDocument/2006/relationships/image" Target="media/image32.wmf"/><Relationship Id="rId78" Type="http://schemas.openxmlformats.org/officeDocument/2006/relationships/oleObject" Target="embeddings/oleObject39.bin"/><Relationship Id="rId77" Type="http://schemas.openxmlformats.org/officeDocument/2006/relationships/image" Target="media/image31.wmf"/><Relationship Id="rId76" Type="http://schemas.openxmlformats.org/officeDocument/2006/relationships/oleObject" Target="embeddings/oleObject38.bin"/><Relationship Id="rId75" Type="http://schemas.openxmlformats.org/officeDocument/2006/relationships/image" Target="media/image30.wmf"/><Relationship Id="rId74" Type="http://schemas.openxmlformats.org/officeDocument/2006/relationships/oleObject" Target="embeddings/oleObject37.bin"/><Relationship Id="rId73" Type="http://schemas.openxmlformats.org/officeDocument/2006/relationships/image" Target="media/image29.wmf"/><Relationship Id="rId72" Type="http://schemas.openxmlformats.org/officeDocument/2006/relationships/oleObject" Target="embeddings/oleObject36.bin"/><Relationship Id="rId71" Type="http://schemas.openxmlformats.org/officeDocument/2006/relationships/image" Target="media/image28.wmf"/><Relationship Id="rId70" Type="http://schemas.openxmlformats.org/officeDocument/2006/relationships/oleObject" Target="embeddings/oleObject35.bin"/><Relationship Id="rId7" Type="http://schemas.openxmlformats.org/officeDocument/2006/relationships/footer" Target="footer4.xml"/><Relationship Id="rId69" Type="http://schemas.openxmlformats.org/officeDocument/2006/relationships/oleObject" Target="embeddings/oleObject34.bin"/><Relationship Id="rId68" Type="http://schemas.openxmlformats.org/officeDocument/2006/relationships/image" Target="media/image27.wmf"/><Relationship Id="rId67" Type="http://schemas.openxmlformats.org/officeDocument/2006/relationships/oleObject" Target="embeddings/oleObject33.bin"/><Relationship Id="rId66" Type="http://schemas.openxmlformats.org/officeDocument/2006/relationships/image" Target="media/image26.wmf"/><Relationship Id="rId65" Type="http://schemas.openxmlformats.org/officeDocument/2006/relationships/oleObject" Target="embeddings/oleObject32.bin"/><Relationship Id="rId64" Type="http://schemas.openxmlformats.org/officeDocument/2006/relationships/image" Target="media/image25.wmf"/><Relationship Id="rId63" Type="http://schemas.openxmlformats.org/officeDocument/2006/relationships/oleObject" Target="embeddings/oleObject31.bin"/><Relationship Id="rId62" Type="http://schemas.openxmlformats.org/officeDocument/2006/relationships/image" Target="media/image24.wmf"/><Relationship Id="rId61" Type="http://schemas.openxmlformats.org/officeDocument/2006/relationships/oleObject" Target="embeddings/oleObject30.bin"/><Relationship Id="rId60" Type="http://schemas.openxmlformats.org/officeDocument/2006/relationships/oleObject" Target="embeddings/oleObject29.bin"/><Relationship Id="rId6" Type="http://schemas.openxmlformats.org/officeDocument/2006/relationships/footer" Target="footer3.xml"/><Relationship Id="rId59" Type="http://schemas.openxmlformats.org/officeDocument/2006/relationships/oleObject" Target="embeddings/oleObject28.bin"/><Relationship Id="rId58" Type="http://schemas.openxmlformats.org/officeDocument/2006/relationships/oleObject" Target="embeddings/oleObject27.bin"/><Relationship Id="rId57" Type="http://schemas.openxmlformats.org/officeDocument/2006/relationships/oleObject" Target="embeddings/oleObject26.bin"/><Relationship Id="rId56" Type="http://schemas.openxmlformats.org/officeDocument/2006/relationships/oleObject" Target="embeddings/oleObject25.bin"/><Relationship Id="rId55" Type="http://schemas.openxmlformats.org/officeDocument/2006/relationships/oleObject" Target="embeddings/oleObject24.bin"/><Relationship Id="rId54" Type="http://schemas.openxmlformats.org/officeDocument/2006/relationships/oleObject" Target="embeddings/oleObject23.bin"/><Relationship Id="rId53" Type="http://schemas.openxmlformats.org/officeDocument/2006/relationships/image" Target="media/image23.wmf"/><Relationship Id="rId52" Type="http://schemas.openxmlformats.org/officeDocument/2006/relationships/oleObject" Target="embeddings/oleObject22.bin"/><Relationship Id="rId51" Type="http://schemas.openxmlformats.org/officeDocument/2006/relationships/image" Target="media/image22.wmf"/><Relationship Id="rId50" Type="http://schemas.openxmlformats.org/officeDocument/2006/relationships/oleObject" Target="embeddings/oleObject21.bin"/><Relationship Id="rId5" Type="http://schemas.openxmlformats.org/officeDocument/2006/relationships/footer" Target="footer2.xml"/><Relationship Id="rId49" Type="http://schemas.openxmlformats.org/officeDocument/2006/relationships/image" Target="media/image21.wmf"/><Relationship Id="rId48" Type="http://schemas.openxmlformats.org/officeDocument/2006/relationships/oleObject" Target="embeddings/oleObject20.bin"/><Relationship Id="rId47" Type="http://schemas.openxmlformats.org/officeDocument/2006/relationships/image" Target="media/image20.wmf"/><Relationship Id="rId46" Type="http://schemas.openxmlformats.org/officeDocument/2006/relationships/oleObject" Target="embeddings/oleObject19.bin"/><Relationship Id="rId45" Type="http://schemas.openxmlformats.org/officeDocument/2006/relationships/image" Target="media/image19.wmf"/><Relationship Id="rId44" Type="http://schemas.openxmlformats.org/officeDocument/2006/relationships/oleObject" Target="embeddings/oleObject18.bin"/><Relationship Id="rId43" Type="http://schemas.openxmlformats.org/officeDocument/2006/relationships/image" Target="media/image18.wmf"/><Relationship Id="rId42" Type="http://schemas.openxmlformats.org/officeDocument/2006/relationships/oleObject" Target="embeddings/oleObject17.bin"/><Relationship Id="rId41" Type="http://schemas.openxmlformats.org/officeDocument/2006/relationships/image" Target="media/image17.wmf"/><Relationship Id="rId40" Type="http://schemas.openxmlformats.org/officeDocument/2006/relationships/oleObject" Target="embeddings/oleObject16.bin"/><Relationship Id="rId4" Type="http://schemas.openxmlformats.org/officeDocument/2006/relationships/footer" Target="footer1.xml"/><Relationship Id="rId39" Type="http://schemas.openxmlformats.org/officeDocument/2006/relationships/image" Target="media/image16.wmf"/><Relationship Id="rId38" Type="http://schemas.openxmlformats.org/officeDocument/2006/relationships/oleObject" Target="embeddings/oleObject15.bin"/><Relationship Id="rId37" Type="http://schemas.openxmlformats.org/officeDocument/2006/relationships/oleObject" Target="embeddings/oleObject14.bin"/><Relationship Id="rId36" Type="http://schemas.openxmlformats.org/officeDocument/2006/relationships/image" Target="media/image15.wmf"/><Relationship Id="rId35" Type="http://schemas.openxmlformats.org/officeDocument/2006/relationships/oleObject" Target="embeddings/oleObject13.bin"/><Relationship Id="rId34" Type="http://schemas.openxmlformats.org/officeDocument/2006/relationships/image" Target="media/image14.wmf"/><Relationship Id="rId33" Type="http://schemas.openxmlformats.org/officeDocument/2006/relationships/oleObject" Target="embeddings/oleObject12.bin"/><Relationship Id="rId32" Type="http://schemas.openxmlformats.org/officeDocument/2006/relationships/image" Target="media/image13.wmf"/><Relationship Id="rId31" Type="http://schemas.openxmlformats.org/officeDocument/2006/relationships/oleObject" Target="embeddings/oleObject11.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1.wmf"/><Relationship Id="rId27" Type="http://schemas.openxmlformats.org/officeDocument/2006/relationships/oleObject" Target="embeddings/oleObject9.bin"/><Relationship Id="rId26" Type="http://schemas.openxmlformats.org/officeDocument/2006/relationships/image" Target="media/image10.wmf"/><Relationship Id="rId25" Type="http://schemas.openxmlformats.org/officeDocument/2006/relationships/oleObject" Target="embeddings/oleObject8.bin"/><Relationship Id="rId24" Type="http://schemas.openxmlformats.org/officeDocument/2006/relationships/image" Target="media/image9.wmf"/><Relationship Id="rId23" Type="http://schemas.openxmlformats.org/officeDocument/2006/relationships/oleObject" Target="embeddings/oleObject7.bin"/><Relationship Id="rId22" Type="http://schemas.openxmlformats.org/officeDocument/2006/relationships/image" Target="media/image8.wmf"/><Relationship Id="rId21" Type="http://schemas.openxmlformats.org/officeDocument/2006/relationships/oleObject" Target="embeddings/oleObject6.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6.wmf"/><Relationship Id="rId17" Type="http://schemas.openxmlformats.org/officeDocument/2006/relationships/oleObject" Target="embeddings/oleObject4.bin"/><Relationship Id="rId161" Type="http://schemas.openxmlformats.org/officeDocument/2006/relationships/fontTable" Target="fontTable.xml"/><Relationship Id="rId160" Type="http://schemas.openxmlformats.org/officeDocument/2006/relationships/customXml" Target="../customXml/item2.xml"/><Relationship Id="rId16" Type="http://schemas.openxmlformats.org/officeDocument/2006/relationships/image" Target="media/image5.wmf"/><Relationship Id="rId159" Type="http://schemas.openxmlformats.org/officeDocument/2006/relationships/numbering" Target="numbering.xml"/><Relationship Id="rId158" Type="http://schemas.openxmlformats.org/officeDocument/2006/relationships/customXml" Target="../customXml/item1.xml"/><Relationship Id="rId157" Type="http://schemas.openxmlformats.org/officeDocument/2006/relationships/image" Target="media/image64.wmf"/><Relationship Id="rId156" Type="http://schemas.openxmlformats.org/officeDocument/2006/relationships/oleObject" Target="embeddings/oleObject85.bin"/><Relationship Id="rId155" Type="http://schemas.openxmlformats.org/officeDocument/2006/relationships/image" Target="media/image63.wmf"/><Relationship Id="rId154" Type="http://schemas.openxmlformats.org/officeDocument/2006/relationships/oleObject" Target="embeddings/oleObject84.bin"/><Relationship Id="rId153" Type="http://schemas.openxmlformats.org/officeDocument/2006/relationships/oleObject" Target="embeddings/oleObject83.bin"/><Relationship Id="rId152" Type="http://schemas.openxmlformats.org/officeDocument/2006/relationships/oleObject" Target="embeddings/oleObject82.bin"/><Relationship Id="rId151" Type="http://schemas.openxmlformats.org/officeDocument/2006/relationships/oleObject" Target="embeddings/oleObject81.bin"/><Relationship Id="rId150" Type="http://schemas.openxmlformats.org/officeDocument/2006/relationships/image" Target="media/image62.wmf"/><Relationship Id="rId15" Type="http://schemas.openxmlformats.org/officeDocument/2006/relationships/oleObject" Target="embeddings/oleObject3.bin"/><Relationship Id="rId149" Type="http://schemas.openxmlformats.org/officeDocument/2006/relationships/oleObject" Target="embeddings/oleObject80.bin"/><Relationship Id="rId148" Type="http://schemas.openxmlformats.org/officeDocument/2006/relationships/oleObject" Target="embeddings/oleObject79.bin"/><Relationship Id="rId147" Type="http://schemas.openxmlformats.org/officeDocument/2006/relationships/oleObject" Target="embeddings/oleObject78.bin"/><Relationship Id="rId146" Type="http://schemas.openxmlformats.org/officeDocument/2006/relationships/image" Target="media/image61.wmf"/><Relationship Id="rId145" Type="http://schemas.openxmlformats.org/officeDocument/2006/relationships/oleObject" Target="embeddings/oleObject77.bin"/><Relationship Id="rId144" Type="http://schemas.openxmlformats.org/officeDocument/2006/relationships/image" Target="media/image60.wmf"/><Relationship Id="rId143" Type="http://schemas.openxmlformats.org/officeDocument/2006/relationships/oleObject" Target="embeddings/oleObject76.bin"/><Relationship Id="rId142" Type="http://schemas.openxmlformats.org/officeDocument/2006/relationships/image" Target="media/image59.wmf"/><Relationship Id="rId141" Type="http://schemas.openxmlformats.org/officeDocument/2006/relationships/oleObject" Target="embeddings/oleObject75.bin"/><Relationship Id="rId140" Type="http://schemas.openxmlformats.org/officeDocument/2006/relationships/oleObject" Target="embeddings/oleObject74.bin"/><Relationship Id="rId14" Type="http://schemas.openxmlformats.org/officeDocument/2006/relationships/image" Target="media/image4.wmf"/><Relationship Id="rId139" Type="http://schemas.openxmlformats.org/officeDocument/2006/relationships/oleObject" Target="embeddings/oleObject73.bin"/><Relationship Id="rId138" Type="http://schemas.openxmlformats.org/officeDocument/2006/relationships/oleObject" Target="embeddings/oleObject72.bin"/><Relationship Id="rId137" Type="http://schemas.openxmlformats.org/officeDocument/2006/relationships/image" Target="media/image58.wmf"/><Relationship Id="rId136" Type="http://schemas.openxmlformats.org/officeDocument/2006/relationships/oleObject" Target="embeddings/oleObject71.bin"/><Relationship Id="rId135" Type="http://schemas.openxmlformats.org/officeDocument/2006/relationships/oleObject" Target="embeddings/oleObject70.bin"/><Relationship Id="rId134" Type="http://schemas.openxmlformats.org/officeDocument/2006/relationships/oleObject" Target="embeddings/oleObject69.bin"/><Relationship Id="rId133" Type="http://schemas.openxmlformats.org/officeDocument/2006/relationships/image" Target="media/image57.wmf"/><Relationship Id="rId132" Type="http://schemas.openxmlformats.org/officeDocument/2006/relationships/oleObject" Target="embeddings/oleObject68.bin"/><Relationship Id="rId131" Type="http://schemas.openxmlformats.org/officeDocument/2006/relationships/image" Target="media/image56.wmf"/><Relationship Id="rId130" Type="http://schemas.openxmlformats.org/officeDocument/2006/relationships/oleObject" Target="embeddings/oleObject67.bin"/><Relationship Id="rId13" Type="http://schemas.openxmlformats.org/officeDocument/2006/relationships/oleObject" Target="embeddings/oleObject2.bin"/><Relationship Id="rId129" Type="http://schemas.openxmlformats.org/officeDocument/2006/relationships/oleObject" Target="embeddings/oleObject66.bin"/><Relationship Id="rId128" Type="http://schemas.openxmlformats.org/officeDocument/2006/relationships/oleObject" Target="embeddings/oleObject65.bin"/><Relationship Id="rId127" Type="http://schemas.openxmlformats.org/officeDocument/2006/relationships/image" Target="media/image55.wmf"/><Relationship Id="rId126" Type="http://schemas.openxmlformats.org/officeDocument/2006/relationships/oleObject" Target="embeddings/oleObject64.bin"/><Relationship Id="rId125" Type="http://schemas.openxmlformats.org/officeDocument/2006/relationships/oleObject" Target="embeddings/oleObject63.bin"/><Relationship Id="rId124" Type="http://schemas.openxmlformats.org/officeDocument/2006/relationships/oleObject" Target="embeddings/oleObject62.bin"/><Relationship Id="rId123" Type="http://schemas.openxmlformats.org/officeDocument/2006/relationships/image" Target="media/image54.wmf"/><Relationship Id="rId122" Type="http://schemas.openxmlformats.org/officeDocument/2006/relationships/oleObject" Target="embeddings/oleObject61.bin"/><Relationship Id="rId121" Type="http://schemas.openxmlformats.org/officeDocument/2006/relationships/image" Target="media/image53.wmf"/><Relationship Id="rId120" Type="http://schemas.openxmlformats.org/officeDocument/2006/relationships/oleObject" Target="embeddings/oleObject60.bin"/><Relationship Id="rId12" Type="http://schemas.openxmlformats.org/officeDocument/2006/relationships/image" Target="media/image3.wmf"/><Relationship Id="rId119" Type="http://schemas.openxmlformats.org/officeDocument/2006/relationships/image" Target="media/image52.wmf"/><Relationship Id="rId118" Type="http://schemas.openxmlformats.org/officeDocument/2006/relationships/oleObject" Target="embeddings/oleObject59.bin"/><Relationship Id="rId117" Type="http://schemas.openxmlformats.org/officeDocument/2006/relationships/image" Target="media/image51.wmf"/><Relationship Id="rId116" Type="http://schemas.openxmlformats.org/officeDocument/2006/relationships/oleObject" Target="embeddings/oleObject58.bin"/><Relationship Id="rId115" Type="http://schemas.openxmlformats.org/officeDocument/2006/relationships/image" Target="media/image50.wmf"/><Relationship Id="rId114" Type="http://schemas.openxmlformats.org/officeDocument/2006/relationships/image" Target="media/image49.wmf"/><Relationship Id="rId113" Type="http://schemas.openxmlformats.org/officeDocument/2006/relationships/oleObject" Target="embeddings/oleObject57.bin"/><Relationship Id="rId112" Type="http://schemas.openxmlformats.org/officeDocument/2006/relationships/oleObject" Target="embeddings/oleObject56.bin"/><Relationship Id="rId111" Type="http://schemas.openxmlformats.org/officeDocument/2006/relationships/image" Target="media/image48.wmf"/><Relationship Id="rId110" Type="http://schemas.openxmlformats.org/officeDocument/2006/relationships/oleObject" Target="embeddings/oleObject55.bin"/><Relationship Id="rId11" Type="http://schemas.openxmlformats.org/officeDocument/2006/relationships/oleObject" Target="embeddings/oleObject1.bin"/><Relationship Id="rId109" Type="http://schemas.openxmlformats.org/officeDocument/2006/relationships/image" Target="media/image47.wmf"/><Relationship Id="rId108" Type="http://schemas.openxmlformats.org/officeDocument/2006/relationships/oleObject" Target="embeddings/oleObject54.bin"/><Relationship Id="rId107" Type="http://schemas.openxmlformats.org/officeDocument/2006/relationships/image" Target="media/image46.wmf"/><Relationship Id="rId106" Type="http://schemas.openxmlformats.org/officeDocument/2006/relationships/oleObject" Target="embeddings/oleObject53.bin"/><Relationship Id="rId105" Type="http://schemas.openxmlformats.org/officeDocument/2006/relationships/image" Target="media/image45.wmf"/><Relationship Id="rId104" Type="http://schemas.openxmlformats.org/officeDocument/2006/relationships/oleObject" Target="embeddings/oleObject52.bin"/><Relationship Id="rId103" Type="http://schemas.openxmlformats.org/officeDocument/2006/relationships/image" Target="media/image44.wmf"/><Relationship Id="rId102" Type="http://schemas.openxmlformats.org/officeDocument/2006/relationships/oleObject" Target="embeddings/oleObject51.bin"/><Relationship Id="rId101" Type="http://schemas.openxmlformats.org/officeDocument/2006/relationships/image" Target="media/image43.wmf"/><Relationship Id="rId100" Type="http://schemas.openxmlformats.org/officeDocument/2006/relationships/oleObject" Target="embeddings/oleObject50.bin"/><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2095"/>
    <customShpInfo spid="_x0000_s2141"/>
    <customShpInfo spid="_x0000_s2093"/>
    <customShpInfo spid="_x0000_s2267"/>
    <customShpInfo spid="_x0000_s226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715505-C630-4ACF-B2BC-A9F609171B41}">
  <ds:schemaRefs/>
</ds:datastoreItem>
</file>

<file path=docProps/app.xml><?xml version="1.0" encoding="utf-8"?>
<Properties xmlns="http://schemas.openxmlformats.org/officeDocument/2006/extended-properties" xmlns:vt="http://schemas.openxmlformats.org/officeDocument/2006/docPropsVTypes">
  <Template>Normal.dotm</Template>
  <Company>江苏省计量科学研究院</Company>
  <Pages>19</Pages>
  <Words>1994</Words>
  <Characters>2571</Characters>
  <Lines>787</Lines>
  <Paragraphs>764</Paragraphs>
  <TotalTime>785</TotalTime>
  <ScaleCrop>false</ScaleCrop>
  <LinksUpToDate>false</LinksUpToDate>
  <CharactersWithSpaces>2705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2022-05-12T05:41:00Z</dcterms:created>
  <dc:creator>赵品彰</dc:creator>
  <cp:lastModifiedBy>燃烧的岁月</cp:lastModifiedBy>
  <cp:lastPrinted>2025-04-03T08:40:00Z</cp:lastPrinted>
  <dcterms:modified xsi:type="dcterms:W3CDTF">2026-05-25T05:13:02Z</dcterms:modified>
  <dc:title>耦合去耦网络校准规范</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eyJoZGlkIjoiMGJiMzI3NzVmMDNmMGI4NjFmNjkxNzI5YzZlMTA0ZmYiLCJ1c2VySWQiOiIyMzY4MjYyMzMifQ==</vt:lpwstr>
  </property>
  <property fmtid="{D5CDD505-2E9C-101B-9397-08002B2CF9AE}" pid="4" name="ICV">
    <vt:lpwstr>24A1ED095A074C608202E278CA3E9FD3_12</vt:lpwstr>
  </property>
</Properties>
</file>